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6AFF9">
      <w:r>
        <w:rPr>
          <w:rFonts w:ascii="Times New Roman" w:hAnsi="Times New Roman" w:eastAsia="黑体"/>
          <w:b w:val="0"/>
          <w:sz w:val="28"/>
        </w:rPr>
        <w:t>附件5</w:t>
      </w:r>
    </w:p>
    <w:p w14:paraId="1A119D68">
      <w:pPr>
        <w:jc w:val="center"/>
      </w:pPr>
      <w:r>
        <w:rPr>
          <w:rFonts w:ascii="Times New Roman" w:hAnsi="Times New Roman" w:eastAsia="方正小标宋简体"/>
          <w:b w:val="0"/>
          <w:sz w:val="36"/>
        </w:rPr>
        <w:t>2026年度校级产学研团队申请指南</w:t>
      </w:r>
      <w:r>
        <w:rPr>
          <w:rFonts w:ascii="Times New Roman" w:hAnsi="Times New Roman" w:eastAsia="方正小标宋简体"/>
          <w:b w:val="0"/>
          <w:sz w:val="36"/>
        </w:rPr>
        <w:br w:type="textWrapping"/>
      </w:r>
      <w:r>
        <w:rPr>
          <w:rFonts w:ascii="Times New Roman" w:hAnsi="Times New Roman" w:eastAsia="方正小标宋简体"/>
          <w:b w:val="0"/>
          <w:sz w:val="36"/>
        </w:rPr>
        <w:t>（绿色低碳专项方向清单）</w:t>
      </w:r>
    </w:p>
    <w:p w14:paraId="3C15B81D">
      <w:pPr>
        <w:spacing w:after="80" w:line="480" w:lineRule="exact"/>
        <w:jc w:val="left"/>
      </w:pPr>
      <w:r>
        <w:rPr>
          <w:rFonts w:ascii="Times New Roman" w:hAnsi="Times New Roman" w:eastAsia="黑体"/>
          <w:b/>
          <w:sz w:val="28"/>
        </w:rPr>
        <w:t>一、编制说明</w:t>
      </w:r>
    </w:p>
    <w:p w14:paraId="62FF78FC">
      <w:pPr>
        <w:spacing w:after="80" w:line="440" w:lineRule="exact"/>
        <w:ind w:firstLine="480"/>
        <w:jc w:val="left"/>
      </w:pPr>
      <w:r>
        <w:rPr>
          <w:rFonts w:ascii="Times New Roman" w:hAnsi="Times New Roman" w:eastAsia="仿宋_GB2312"/>
          <w:b w:val="0"/>
          <w:sz w:val="24"/>
        </w:rPr>
        <w:t>为落实《武汉工商学院产学研团队管理办法》（武工商发〔2026〕43号）和学校绿色低碳转型部署，根据《中共中央 国务院关于加快经济社会发展全面绿色转型的意见》《“十五五”碳达峰行动方案》《关于推进绿色低碳转型加强全国碳市场建设的意见》《温室气体自愿减排交易管理办法（试行）》《关于加强绿色电力证书与节能降碳政策衔接大力促进非化石能源消费的通知》《关于加快建立统一规范的碳排放统计核算体系实施方案》《建立健全碳达峰碳中和标准计量体系实施方案》《碳达峰碳中和综合评价考核办法》《“十五五”公共机构节能降碳工作方案》等政策文件，结合欧盟碳边境调节机制（CBAM）实施形势和学校学科建设规划，制定本方向清单。</w:t>
      </w:r>
    </w:p>
    <w:p w14:paraId="26D9081B">
      <w:pPr>
        <w:spacing w:after="80" w:line="480" w:lineRule="exact"/>
        <w:jc w:val="left"/>
      </w:pPr>
      <w:r>
        <w:rPr>
          <w:rFonts w:ascii="Times New Roman" w:hAnsi="Times New Roman" w:eastAsia="黑体"/>
          <w:b/>
          <w:sz w:val="28"/>
        </w:rPr>
        <w:t>二、使用说明</w:t>
      </w:r>
    </w:p>
    <w:p w14:paraId="35062A1A">
      <w:pPr>
        <w:spacing w:after="80" w:line="440" w:lineRule="exact"/>
        <w:ind w:firstLine="480"/>
        <w:jc w:val="left"/>
      </w:pPr>
      <w:r>
        <w:rPr>
          <w:rFonts w:ascii="Times New Roman" w:hAnsi="Times New Roman" w:eastAsia="仿宋_GB2312"/>
          <w:b w:val="0"/>
          <w:sz w:val="24"/>
        </w:rPr>
        <w:t>（一）本清单供各二级院部组织产学研团队申报、现有校级学术团队转设变更时参考，申报方向不限于本清单。</w:t>
      </w:r>
    </w:p>
    <w:p w14:paraId="30B1D9BE">
      <w:pPr>
        <w:spacing w:after="80" w:line="440" w:lineRule="exact"/>
        <w:ind w:firstLine="480"/>
        <w:jc w:val="left"/>
      </w:pPr>
      <w:r>
        <w:rPr>
          <w:rFonts w:ascii="Times New Roman" w:hAnsi="Times New Roman" w:eastAsia="仿宋_GB2312"/>
          <w:b w:val="0"/>
          <w:sz w:val="24"/>
        </w:rPr>
        <w:t>（二）清单按“国际规则应对、市场机制服务、硬科技攻关”三个层级布局，每个方向标注建议团队类别（产教融合型／学科建设型）和优先级（优先支持／重点支持／培育支持）。同等条件下，优先支持优先级标注为“优先支持”的方向，以及依托产学研合作基地、武汉弘博集团有限责任公司下属企业揭榜项目组建的团队。</w:t>
      </w:r>
    </w:p>
    <w:p w14:paraId="6244660E">
      <w:pPr>
        <w:spacing w:after="80" w:line="440" w:lineRule="exact"/>
        <w:ind w:firstLine="480"/>
        <w:jc w:val="left"/>
      </w:pPr>
      <w:r>
        <w:rPr>
          <w:rFonts w:ascii="Times New Roman" w:hAnsi="Times New Roman" w:eastAsia="仿宋_GB2312"/>
          <w:b w:val="0"/>
          <w:sz w:val="24"/>
        </w:rPr>
        <w:t>（三）鼓励跨学院、跨专业、跨方向联合组队；标注“可由存量团队变更升级”的方向，相关现有团队可通过信息变更方式转设，无需重复新设。</w:t>
      </w:r>
    </w:p>
    <w:p w14:paraId="1AACBDFF">
      <w:pPr>
        <w:spacing w:after="80" w:line="440" w:lineRule="exact"/>
        <w:ind w:firstLine="480"/>
        <w:jc w:val="left"/>
      </w:pPr>
      <w:r>
        <w:rPr>
          <w:rFonts w:ascii="Times New Roman" w:hAnsi="Times New Roman" w:eastAsia="仿宋_GB2312"/>
          <w:b w:val="0"/>
          <w:sz w:val="24"/>
        </w:rPr>
        <w:t>（四）各方向的主要研究内容与产学研切入点为引导性表述，申报团队可结合实际进一步凝练调整。</w:t>
      </w:r>
    </w:p>
    <w:p w14:paraId="7AE812DA">
      <w:pPr>
        <w:spacing w:after="120" w:line="480" w:lineRule="exact"/>
        <w:jc w:val="left"/>
      </w:pPr>
      <w:r>
        <w:rPr>
          <w:rFonts w:ascii="Times New Roman" w:hAnsi="Times New Roman" w:eastAsia="黑体"/>
          <w:b/>
          <w:sz w:val="28"/>
        </w:rPr>
        <w:t>三、方向清单</w:t>
      </w:r>
    </w:p>
    <w:p w14:paraId="614BB5D1">
      <w:pPr>
        <w:spacing w:after="60" w:line="480" w:lineRule="exact"/>
        <w:jc w:val="left"/>
      </w:pPr>
      <w:r>
        <w:rPr>
          <w:rFonts w:ascii="Times New Roman" w:hAnsi="Times New Roman" w:eastAsia="黑体"/>
          <w:b/>
          <w:sz w:val="24"/>
        </w:rPr>
        <w:t>（一）国际规则应对层（服务出口企业绿色贸易合规）</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644"/>
        <w:gridCol w:w="3458"/>
        <w:gridCol w:w="964"/>
        <w:gridCol w:w="1644"/>
        <w:gridCol w:w="794"/>
      </w:tblGrid>
      <w:tr w14:paraId="4571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C532804">
            <w:pPr>
              <w:spacing w:after="0" w:line="240" w:lineRule="auto"/>
              <w:jc w:val="center"/>
            </w:pPr>
            <w:r>
              <w:rPr>
                <w:rFonts w:ascii="Times New Roman" w:hAnsi="Times New Roman" w:eastAsia="黑体"/>
                <w:b/>
                <w:sz w:val="19"/>
              </w:rPr>
              <w:t>序号</w:t>
            </w:r>
          </w:p>
        </w:tc>
        <w:tc>
          <w:tcPr>
            <w:tcW w:w="1644" w:type="dxa"/>
            <w:vAlign w:val="center"/>
          </w:tcPr>
          <w:p w14:paraId="50255F23">
            <w:pPr>
              <w:spacing w:after="0" w:line="240" w:lineRule="auto"/>
              <w:jc w:val="center"/>
            </w:pPr>
            <w:r>
              <w:rPr>
                <w:rFonts w:ascii="Times New Roman" w:hAnsi="Times New Roman" w:eastAsia="黑体"/>
                <w:b/>
                <w:sz w:val="19"/>
              </w:rPr>
              <w:t>方向名称</w:t>
            </w:r>
          </w:p>
        </w:tc>
        <w:tc>
          <w:tcPr>
            <w:tcW w:w="3458" w:type="dxa"/>
            <w:vAlign w:val="center"/>
          </w:tcPr>
          <w:p w14:paraId="21BA1E11">
            <w:pPr>
              <w:spacing w:after="0" w:line="240" w:lineRule="auto"/>
              <w:jc w:val="center"/>
            </w:pPr>
            <w:r>
              <w:rPr>
                <w:rFonts w:ascii="Times New Roman" w:hAnsi="Times New Roman" w:eastAsia="黑体"/>
                <w:b/>
                <w:sz w:val="19"/>
              </w:rPr>
              <w:t>主要研究内容与产学研切入点</w:t>
            </w:r>
          </w:p>
        </w:tc>
        <w:tc>
          <w:tcPr>
            <w:tcW w:w="964" w:type="dxa"/>
            <w:vAlign w:val="center"/>
          </w:tcPr>
          <w:p w14:paraId="305FE710">
            <w:pPr>
              <w:spacing w:after="0" w:line="240" w:lineRule="auto"/>
              <w:jc w:val="center"/>
            </w:pPr>
            <w:r>
              <w:rPr>
                <w:rFonts w:ascii="Times New Roman" w:hAnsi="Times New Roman" w:eastAsia="黑体"/>
                <w:b/>
                <w:sz w:val="19"/>
              </w:rPr>
              <w:t>建议类别</w:t>
            </w:r>
          </w:p>
        </w:tc>
        <w:tc>
          <w:tcPr>
            <w:tcW w:w="1644" w:type="dxa"/>
            <w:vAlign w:val="center"/>
          </w:tcPr>
          <w:p w14:paraId="57D86AD2">
            <w:pPr>
              <w:spacing w:after="0" w:line="240" w:lineRule="auto"/>
              <w:jc w:val="center"/>
            </w:pPr>
            <w:r>
              <w:rPr>
                <w:rFonts w:ascii="Times New Roman" w:hAnsi="Times New Roman" w:eastAsia="黑体"/>
                <w:b/>
                <w:sz w:val="19"/>
              </w:rPr>
              <w:t>牵头院部（协同院部）</w:t>
            </w:r>
          </w:p>
        </w:tc>
        <w:tc>
          <w:tcPr>
            <w:tcW w:w="794" w:type="dxa"/>
            <w:vAlign w:val="center"/>
          </w:tcPr>
          <w:p w14:paraId="6940D4F6">
            <w:pPr>
              <w:spacing w:after="0" w:line="240" w:lineRule="auto"/>
              <w:jc w:val="center"/>
            </w:pPr>
            <w:r>
              <w:rPr>
                <w:rFonts w:ascii="Times New Roman" w:hAnsi="Times New Roman" w:eastAsia="黑体"/>
                <w:b/>
                <w:sz w:val="19"/>
              </w:rPr>
              <w:t>优先级</w:t>
            </w:r>
          </w:p>
        </w:tc>
      </w:tr>
      <w:tr w14:paraId="0FD4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44005E5">
            <w:pPr>
              <w:spacing w:after="0" w:line="240" w:lineRule="auto"/>
              <w:jc w:val="center"/>
            </w:pPr>
            <w:r>
              <w:rPr>
                <w:rFonts w:ascii="Times New Roman" w:hAnsi="Times New Roman" w:eastAsia="仿宋_GB2312"/>
                <w:b w:val="0"/>
                <w:sz w:val="18"/>
              </w:rPr>
              <w:t>1</w:t>
            </w:r>
          </w:p>
        </w:tc>
        <w:tc>
          <w:tcPr>
            <w:tcW w:w="1644" w:type="dxa"/>
            <w:vAlign w:val="center"/>
          </w:tcPr>
          <w:p w14:paraId="551CD718">
            <w:pPr>
              <w:spacing w:after="0" w:line="240" w:lineRule="auto"/>
              <w:jc w:val="left"/>
            </w:pPr>
            <w:r>
              <w:rPr>
                <w:rFonts w:ascii="Times New Roman" w:hAnsi="Times New Roman" w:eastAsia="仿宋_GB2312"/>
                <w:b w:val="0"/>
                <w:sz w:val="18"/>
              </w:rPr>
              <w:t>出口产品碳足迹核算与中外标准转换</w:t>
            </w:r>
          </w:p>
        </w:tc>
        <w:tc>
          <w:tcPr>
            <w:tcW w:w="3458" w:type="dxa"/>
            <w:vAlign w:val="center"/>
          </w:tcPr>
          <w:p w14:paraId="2D5BA5C4">
            <w:pPr>
              <w:spacing w:after="0" w:line="240" w:lineRule="auto"/>
              <w:jc w:val="left"/>
            </w:pPr>
            <w:r>
              <w:rPr>
                <w:rFonts w:ascii="Times New Roman" w:hAnsi="Times New Roman" w:eastAsia="仿宋_GB2312"/>
                <w:b w:val="0"/>
                <w:sz w:val="18"/>
              </w:rPr>
              <w:t>面向钢铁、铝及其下游制品的产品级嵌入排放核算方法，企业排放数据向产品、工序、批次的分摊方法；ISO 14067等国内标准与CBAM口径的转换规则；为重点产品提供碳足迹核算与申报服务。</w:t>
            </w:r>
          </w:p>
        </w:tc>
        <w:tc>
          <w:tcPr>
            <w:tcW w:w="964" w:type="dxa"/>
            <w:vAlign w:val="center"/>
          </w:tcPr>
          <w:p w14:paraId="5C187CFC">
            <w:pPr>
              <w:spacing w:after="0" w:line="240" w:lineRule="auto"/>
              <w:jc w:val="center"/>
            </w:pPr>
            <w:r>
              <w:rPr>
                <w:rFonts w:ascii="Times New Roman" w:hAnsi="Times New Roman" w:eastAsia="仿宋_GB2312"/>
                <w:b w:val="0"/>
                <w:sz w:val="18"/>
              </w:rPr>
              <w:t>产教融合型</w:t>
            </w:r>
          </w:p>
        </w:tc>
        <w:tc>
          <w:tcPr>
            <w:tcW w:w="1644" w:type="dxa"/>
            <w:vAlign w:val="center"/>
          </w:tcPr>
          <w:p w14:paraId="5CCB69DD">
            <w:pPr>
              <w:spacing w:after="0" w:line="240" w:lineRule="auto"/>
              <w:jc w:val="left"/>
            </w:pPr>
            <w:r>
              <w:rPr>
                <w:rFonts w:ascii="Times New Roman" w:hAnsi="Times New Roman" w:eastAsia="仿宋_GB2312"/>
                <w:b w:val="0"/>
                <w:sz w:val="18"/>
              </w:rPr>
              <w:t>环境与生物工程学院（经济与管理学院、公共课部）</w:t>
            </w:r>
          </w:p>
        </w:tc>
        <w:tc>
          <w:tcPr>
            <w:tcW w:w="794" w:type="dxa"/>
            <w:vAlign w:val="center"/>
          </w:tcPr>
          <w:p w14:paraId="279CF4B3">
            <w:pPr>
              <w:spacing w:after="0" w:line="240" w:lineRule="auto"/>
              <w:jc w:val="center"/>
            </w:pPr>
            <w:r>
              <w:rPr>
                <w:rFonts w:ascii="Times New Roman" w:hAnsi="Times New Roman" w:eastAsia="仿宋_GB2312"/>
                <w:b w:val="0"/>
                <w:sz w:val="18"/>
              </w:rPr>
              <w:t>优先支持</w:t>
            </w:r>
          </w:p>
        </w:tc>
      </w:tr>
      <w:tr w14:paraId="0A53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82595AA">
            <w:pPr>
              <w:spacing w:after="0" w:line="240" w:lineRule="auto"/>
              <w:jc w:val="center"/>
            </w:pPr>
            <w:r>
              <w:rPr>
                <w:rFonts w:ascii="Times New Roman" w:hAnsi="Times New Roman" w:eastAsia="仿宋_GB2312"/>
                <w:b w:val="0"/>
                <w:sz w:val="18"/>
              </w:rPr>
              <w:t>2</w:t>
            </w:r>
          </w:p>
        </w:tc>
        <w:tc>
          <w:tcPr>
            <w:tcW w:w="1644" w:type="dxa"/>
            <w:vAlign w:val="center"/>
          </w:tcPr>
          <w:p w14:paraId="66EFEB3B">
            <w:pPr>
              <w:spacing w:after="0" w:line="240" w:lineRule="auto"/>
              <w:jc w:val="left"/>
            </w:pPr>
            <w:r>
              <w:rPr>
                <w:rFonts w:ascii="Times New Roman" w:hAnsi="Times New Roman" w:eastAsia="仿宋_GB2312"/>
                <w:b w:val="0"/>
                <w:sz w:val="18"/>
              </w:rPr>
              <w:t>出口企业CBAM合规服务与碳成本决策</w:t>
            </w:r>
          </w:p>
        </w:tc>
        <w:tc>
          <w:tcPr>
            <w:tcW w:w="3458" w:type="dxa"/>
            <w:vAlign w:val="center"/>
          </w:tcPr>
          <w:p w14:paraId="62736C4A">
            <w:pPr>
              <w:spacing w:after="0" w:line="240" w:lineRule="auto"/>
              <w:jc w:val="left"/>
            </w:pPr>
            <w:r>
              <w:rPr>
                <w:rFonts w:ascii="Times New Roman" w:hAnsi="Times New Roman" w:eastAsia="仿宋_GB2312"/>
                <w:b w:val="0"/>
                <w:sz w:val="18"/>
              </w:rPr>
              <w:t>CBAM申报辅导与合规评价指标体系；默认值风险与碳成本测算、报价决策支持；CBAM覆盖范围下游化（汽车零部件、机械设备、家用电器等）对湖北出口产业的影响与应对。</w:t>
            </w:r>
          </w:p>
        </w:tc>
        <w:tc>
          <w:tcPr>
            <w:tcW w:w="964" w:type="dxa"/>
            <w:vAlign w:val="center"/>
          </w:tcPr>
          <w:p w14:paraId="1A94D18F">
            <w:pPr>
              <w:spacing w:after="0" w:line="240" w:lineRule="auto"/>
              <w:jc w:val="center"/>
            </w:pPr>
            <w:r>
              <w:rPr>
                <w:rFonts w:ascii="Times New Roman" w:hAnsi="Times New Roman" w:eastAsia="仿宋_GB2312"/>
                <w:b w:val="0"/>
                <w:sz w:val="18"/>
              </w:rPr>
              <w:t>产教融合型</w:t>
            </w:r>
          </w:p>
        </w:tc>
        <w:tc>
          <w:tcPr>
            <w:tcW w:w="1644" w:type="dxa"/>
            <w:vAlign w:val="center"/>
          </w:tcPr>
          <w:p w14:paraId="088BD297">
            <w:pPr>
              <w:spacing w:after="0" w:line="240" w:lineRule="auto"/>
              <w:jc w:val="left"/>
            </w:pPr>
            <w:r>
              <w:rPr>
                <w:rFonts w:ascii="Times New Roman" w:hAnsi="Times New Roman" w:eastAsia="仿宋_GB2312"/>
                <w:b w:val="0"/>
                <w:sz w:val="18"/>
              </w:rPr>
              <w:t>经济与管理学院（数智商务与物流学院）</w:t>
            </w:r>
          </w:p>
        </w:tc>
        <w:tc>
          <w:tcPr>
            <w:tcW w:w="794" w:type="dxa"/>
            <w:vAlign w:val="center"/>
          </w:tcPr>
          <w:p w14:paraId="1147AB4A">
            <w:pPr>
              <w:spacing w:after="0" w:line="240" w:lineRule="auto"/>
              <w:jc w:val="center"/>
            </w:pPr>
            <w:r>
              <w:rPr>
                <w:rFonts w:ascii="Times New Roman" w:hAnsi="Times New Roman" w:eastAsia="仿宋_GB2312"/>
                <w:b w:val="0"/>
                <w:sz w:val="18"/>
              </w:rPr>
              <w:t>优先支持</w:t>
            </w:r>
          </w:p>
        </w:tc>
      </w:tr>
      <w:tr w14:paraId="58D7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5DBF3C7">
            <w:pPr>
              <w:spacing w:after="0" w:line="240" w:lineRule="auto"/>
              <w:jc w:val="center"/>
            </w:pPr>
            <w:r>
              <w:rPr>
                <w:rFonts w:ascii="Times New Roman" w:hAnsi="Times New Roman" w:eastAsia="仿宋_GB2312"/>
                <w:b w:val="0"/>
                <w:sz w:val="18"/>
              </w:rPr>
              <w:t>3</w:t>
            </w:r>
          </w:p>
        </w:tc>
        <w:tc>
          <w:tcPr>
            <w:tcW w:w="1644" w:type="dxa"/>
            <w:vAlign w:val="center"/>
          </w:tcPr>
          <w:p w14:paraId="2A5E66DB">
            <w:pPr>
              <w:spacing w:after="0" w:line="240" w:lineRule="auto"/>
              <w:jc w:val="left"/>
            </w:pPr>
            <w:r>
              <w:rPr>
                <w:rFonts w:ascii="Times New Roman" w:hAnsi="Times New Roman" w:eastAsia="仿宋_GB2312"/>
                <w:b w:val="0"/>
                <w:sz w:val="18"/>
              </w:rPr>
              <w:t>绿证绿电交易与产品碳足迹绿电抵扣</w:t>
            </w:r>
          </w:p>
        </w:tc>
        <w:tc>
          <w:tcPr>
            <w:tcW w:w="3458" w:type="dxa"/>
            <w:vAlign w:val="center"/>
          </w:tcPr>
          <w:p w14:paraId="299D7E0C">
            <w:pPr>
              <w:spacing w:after="0" w:line="240" w:lineRule="auto"/>
              <w:jc w:val="left"/>
            </w:pPr>
            <w:r>
              <w:rPr>
                <w:rFonts w:ascii="Times New Roman" w:hAnsi="Times New Roman" w:eastAsia="仿宋_GB2312"/>
                <w:b w:val="0"/>
                <w:sz w:val="18"/>
              </w:rPr>
              <w:t>绿证绿电交易机制与绿电消费认证；绿证纳入产品碳足迹核算的抵扣规则及绿证国际互认；为出口企业提供“绿证采购＋绿电认证＋碳足迹抵扣”组合服务。</w:t>
            </w:r>
          </w:p>
        </w:tc>
        <w:tc>
          <w:tcPr>
            <w:tcW w:w="964" w:type="dxa"/>
            <w:vAlign w:val="center"/>
          </w:tcPr>
          <w:p w14:paraId="253D899A">
            <w:pPr>
              <w:spacing w:after="0" w:line="240" w:lineRule="auto"/>
              <w:jc w:val="center"/>
            </w:pPr>
            <w:r>
              <w:rPr>
                <w:rFonts w:ascii="Times New Roman" w:hAnsi="Times New Roman" w:eastAsia="仿宋_GB2312"/>
                <w:b w:val="0"/>
                <w:sz w:val="18"/>
              </w:rPr>
              <w:t>产教融合型</w:t>
            </w:r>
          </w:p>
        </w:tc>
        <w:tc>
          <w:tcPr>
            <w:tcW w:w="1644" w:type="dxa"/>
            <w:vAlign w:val="center"/>
          </w:tcPr>
          <w:p w14:paraId="0F27E75D">
            <w:pPr>
              <w:spacing w:after="0" w:line="240" w:lineRule="auto"/>
              <w:jc w:val="left"/>
            </w:pPr>
            <w:r>
              <w:rPr>
                <w:rFonts w:ascii="Times New Roman" w:hAnsi="Times New Roman" w:eastAsia="仿宋_GB2312"/>
                <w:b w:val="0"/>
                <w:sz w:val="18"/>
              </w:rPr>
              <w:t>数智商务与物流学院（能源电气工程学院、经济与管理学院）</w:t>
            </w:r>
          </w:p>
        </w:tc>
        <w:tc>
          <w:tcPr>
            <w:tcW w:w="794" w:type="dxa"/>
            <w:vAlign w:val="center"/>
          </w:tcPr>
          <w:p w14:paraId="2C5BDB4C">
            <w:pPr>
              <w:spacing w:after="0" w:line="240" w:lineRule="auto"/>
              <w:jc w:val="center"/>
            </w:pPr>
            <w:r>
              <w:rPr>
                <w:rFonts w:ascii="Times New Roman" w:hAnsi="Times New Roman" w:eastAsia="仿宋_GB2312"/>
                <w:b w:val="0"/>
                <w:sz w:val="18"/>
              </w:rPr>
              <w:t>重点支持</w:t>
            </w:r>
          </w:p>
        </w:tc>
      </w:tr>
      <w:tr w14:paraId="5937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4E85BBA6">
            <w:pPr>
              <w:spacing w:after="0" w:line="240" w:lineRule="auto"/>
              <w:jc w:val="center"/>
            </w:pPr>
            <w:r>
              <w:rPr>
                <w:rFonts w:ascii="Times New Roman" w:hAnsi="Times New Roman" w:eastAsia="仿宋_GB2312"/>
                <w:b w:val="0"/>
                <w:sz w:val="18"/>
              </w:rPr>
              <w:t>4</w:t>
            </w:r>
          </w:p>
        </w:tc>
        <w:tc>
          <w:tcPr>
            <w:tcW w:w="1644" w:type="dxa"/>
            <w:vAlign w:val="center"/>
          </w:tcPr>
          <w:p w14:paraId="41E1E412">
            <w:pPr>
              <w:spacing w:after="0" w:line="240" w:lineRule="auto"/>
              <w:jc w:val="left"/>
            </w:pPr>
            <w:r>
              <w:rPr>
                <w:rFonts w:ascii="Times New Roman" w:hAnsi="Times New Roman" w:eastAsia="仿宋_GB2312"/>
                <w:b w:val="0"/>
                <w:sz w:val="18"/>
              </w:rPr>
              <w:t>碳定价机制衔接与国际抵扣规则研究</w:t>
            </w:r>
          </w:p>
        </w:tc>
        <w:tc>
          <w:tcPr>
            <w:tcW w:w="3458" w:type="dxa"/>
            <w:vAlign w:val="center"/>
          </w:tcPr>
          <w:p w14:paraId="19F2BF70">
            <w:pPr>
              <w:spacing w:after="0" w:line="240" w:lineRule="auto"/>
              <w:jc w:val="left"/>
            </w:pPr>
            <w:r>
              <w:rPr>
                <w:rFonts w:ascii="Times New Roman" w:hAnsi="Times New Roman" w:eastAsia="仿宋_GB2312"/>
                <w:b w:val="0"/>
                <w:sz w:val="18"/>
              </w:rPr>
              <w:t>第三国已有效支付碳价在CBAM下的扣减规则；全国碳市场与境外碳定价机制的衔接；企业低碳投入的证据化转化。</w:t>
            </w:r>
          </w:p>
        </w:tc>
        <w:tc>
          <w:tcPr>
            <w:tcW w:w="964" w:type="dxa"/>
            <w:vAlign w:val="center"/>
          </w:tcPr>
          <w:p w14:paraId="4EA2CD32">
            <w:pPr>
              <w:spacing w:after="0" w:line="240" w:lineRule="auto"/>
              <w:jc w:val="center"/>
            </w:pPr>
            <w:r>
              <w:rPr>
                <w:rFonts w:ascii="Times New Roman" w:hAnsi="Times New Roman" w:eastAsia="仿宋_GB2312"/>
                <w:b w:val="0"/>
                <w:sz w:val="18"/>
              </w:rPr>
              <w:t>学科建设型</w:t>
            </w:r>
          </w:p>
        </w:tc>
        <w:tc>
          <w:tcPr>
            <w:tcW w:w="1644" w:type="dxa"/>
            <w:vAlign w:val="center"/>
          </w:tcPr>
          <w:p w14:paraId="1FF058FB">
            <w:pPr>
              <w:spacing w:after="0" w:line="240" w:lineRule="auto"/>
              <w:jc w:val="left"/>
            </w:pPr>
            <w:r>
              <w:rPr>
                <w:rFonts w:ascii="Times New Roman" w:hAnsi="Times New Roman" w:eastAsia="仿宋_GB2312"/>
                <w:b w:val="0"/>
                <w:sz w:val="18"/>
              </w:rPr>
              <w:t>文法学院（经济与管理学院）</w:t>
            </w:r>
          </w:p>
        </w:tc>
        <w:tc>
          <w:tcPr>
            <w:tcW w:w="794" w:type="dxa"/>
            <w:vAlign w:val="center"/>
          </w:tcPr>
          <w:p w14:paraId="7C024AF8">
            <w:pPr>
              <w:spacing w:after="0" w:line="240" w:lineRule="auto"/>
              <w:jc w:val="center"/>
            </w:pPr>
            <w:r>
              <w:rPr>
                <w:rFonts w:ascii="Times New Roman" w:hAnsi="Times New Roman" w:eastAsia="仿宋_GB2312"/>
                <w:b w:val="0"/>
                <w:sz w:val="18"/>
              </w:rPr>
              <w:t>培育支持</w:t>
            </w:r>
          </w:p>
        </w:tc>
      </w:tr>
      <w:tr w14:paraId="7CC00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516337E">
            <w:pPr>
              <w:spacing w:after="0" w:line="240" w:lineRule="auto"/>
              <w:jc w:val="center"/>
            </w:pPr>
            <w:r>
              <w:rPr>
                <w:rFonts w:ascii="Times New Roman" w:hAnsi="Times New Roman" w:eastAsia="仿宋_GB2312"/>
                <w:b w:val="0"/>
                <w:sz w:val="18"/>
              </w:rPr>
              <w:t>5</w:t>
            </w:r>
          </w:p>
        </w:tc>
        <w:tc>
          <w:tcPr>
            <w:tcW w:w="1644" w:type="dxa"/>
            <w:vAlign w:val="center"/>
          </w:tcPr>
          <w:p w14:paraId="0E01C8E3">
            <w:pPr>
              <w:spacing w:after="0" w:line="240" w:lineRule="auto"/>
              <w:jc w:val="left"/>
            </w:pPr>
            <w:r>
              <w:rPr>
                <w:rFonts w:ascii="Times New Roman" w:hAnsi="Times New Roman" w:eastAsia="仿宋_GB2312"/>
                <w:b w:val="0"/>
                <w:sz w:val="18"/>
              </w:rPr>
              <w:t>低碳供应链碳数据传导与重组</w:t>
            </w:r>
          </w:p>
        </w:tc>
        <w:tc>
          <w:tcPr>
            <w:tcW w:w="3458" w:type="dxa"/>
            <w:vAlign w:val="center"/>
          </w:tcPr>
          <w:p w14:paraId="342BB8A1">
            <w:pPr>
              <w:spacing w:after="0" w:line="240" w:lineRule="auto"/>
              <w:jc w:val="left"/>
            </w:pPr>
            <w:r>
              <w:rPr>
                <w:rFonts w:ascii="Times New Roman" w:hAnsi="Times New Roman" w:eastAsia="仿宋_GB2312"/>
                <w:b w:val="0"/>
                <w:sz w:val="18"/>
              </w:rPr>
              <w:t>上游原材料碳数据溯源与供应链传导机制；低碳采购决策与供应商筛选；CBAM驱动下的供应链重组与数字商贸物流协同。可由“数字供应链管理优化与服务创新”团队变更升级。</w:t>
            </w:r>
          </w:p>
        </w:tc>
        <w:tc>
          <w:tcPr>
            <w:tcW w:w="964" w:type="dxa"/>
            <w:vAlign w:val="center"/>
          </w:tcPr>
          <w:p w14:paraId="276256C2">
            <w:pPr>
              <w:spacing w:after="0" w:line="240" w:lineRule="auto"/>
              <w:jc w:val="center"/>
            </w:pPr>
            <w:r>
              <w:rPr>
                <w:rFonts w:ascii="Times New Roman" w:hAnsi="Times New Roman" w:eastAsia="仿宋_GB2312"/>
                <w:b w:val="0"/>
                <w:sz w:val="18"/>
              </w:rPr>
              <w:t>产教融合型</w:t>
            </w:r>
          </w:p>
        </w:tc>
        <w:tc>
          <w:tcPr>
            <w:tcW w:w="1644" w:type="dxa"/>
            <w:vAlign w:val="center"/>
          </w:tcPr>
          <w:p w14:paraId="7633A07D">
            <w:pPr>
              <w:spacing w:after="0" w:line="240" w:lineRule="auto"/>
              <w:jc w:val="left"/>
            </w:pPr>
            <w:r>
              <w:rPr>
                <w:rFonts w:ascii="Times New Roman" w:hAnsi="Times New Roman" w:eastAsia="仿宋_GB2312"/>
                <w:b w:val="0"/>
                <w:sz w:val="18"/>
              </w:rPr>
              <w:t>数智商务与物流学院</w:t>
            </w:r>
          </w:p>
        </w:tc>
        <w:tc>
          <w:tcPr>
            <w:tcW w:w="794" w:type="dxa"/>
            <w:vAlign w:val="center"/>
          </w:tcPr>
          <w:p w14:paraId="20B5A8C8">
            <w:pPr>
              <w:spacing w:after="0" w:line="240" w:lineRule="auto"/>
              <w:jc w:val="center"/>
            </w:pPr>
            <w:r>
              <w:rPr>
                <w:rFonts w:ascii="Times New Roman" w:hAnsi="Times New Roman" w:eastAsia="仿宋_GB2312"/>
                <w:b w:val="0"/>
                <w:sz w:val="18"/>
              </w:rPr>
              <w:t>重点支持</w:t>
            </w:r>
          </w:p>
        </w:tc>
      </w:tr>
    </w:tbl>
    <w:p w14:paraId="7BEA2125"/>
    <w:p w14:paraId="241F4452">
      <w:pPr>
        <w:spacing w:after="60" w:line="480" w:lineRule="exact"/>
        <w:jc w:val="left"/>
      </w:pPr>
      <w:r>
        <w:rPr>
          <w:rFonts w:ascii="Times New Roman" w:hAnsi="Times New Roman" w:eastAsia="黑体"/>
          <w:b/>
          <w:sz w:val="24"/>
        </w:rPr>
        <w:t>（二）市场机制服务层（服务碳市场、绿证市场与双碳治理）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644"/>
        <w:gridCol w:w="3458"/>
        <w:gridCol w:w="964"/>
        <w:gridCol w:w="1644"/>
        <w:gridCol w:w="794"/>
      </w:tblGrid>
      <w:tr w14:paraId="0E70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541884BC">
            <w:pPr>
              <w:spacing w:after="0" w:line="240" w:lineRule="auto"/>
              <w:jc w:val="center"/>
            </w:pPr>
            <w:r>
              <w:rPr>
                <w:rFonts w:ascii="Times New Roman" w:hAnsi="Times New Roman" w:eastAsia="黑体"/>
                <w:b/>
                <w:sz w:val="19"/>
              </w:rPr>
              <w:t>序号</w:t>
            </w:r>
          </w:p>
        </w:tc>
        <w:tc>
          <w:tcPr>
            <w:tcW w:w="1644" w:type="dxa"/>
            <w:vAlign w:val="center"/>
          </w:tcPr>
          <w:p w14:paraId="4142E373">
            <w:pPr>
              <w:spacing w:after="0" w:line="240" w:lineRule="auto"/>
              <w:jc w:val="center"/>
            </w:pPr>
            <w:r>
              <w:rPr>
                <w:rFonts w:ascii="Times New Roman" w:hAnsi="Times New Roman" w:eastAsia="黑体"/>
                <w:b/>
                <w:sz w:val="19"/>
              </w:rPr>
              <w:t>方向名称</w:t>
            </w:r>
          </w:p>
        </w:tc>
        <w:tc>
          <w:tcPr>
            <w:tcW w:w="3458" w:type="dxa"/>
            <w:vAlign w:val="center"/>
          </w:tcPr>
          <w:p w14:paraId="484E75CA">
            <w:pPr>
              <w:spacing w:after="0" w:line="240" w:lineRule="auto"/>
              <w:jc w:val="center"/>
            </w:pPr>
            <w:r>
              <w:rPr>
                <w:rFonts w:ascii="Times New Roman" w:hAnsi="Times New Roman" w:eastAsia="黑体"/>
                <w:b/>
                <w:sz w:val="19"/>
              </w:rPr>
              <w:t>主要研究内容与产学研切入点</w:t>
            </w:r>
          </w:p>
        </w:tc>
        <w:tc>
          <w:tcPr>
            <w:tcW w:w="964" w:type="dxa"/>
            <w:vAlign w:val="center"/>
          </w:tcPr>
          <w:p w14:paraId="7A06EF54">
            <w:pPr>
              <w:spacing w:after="0" w:line="240" w:lineRule="auto"/>
              <w:jc w:val="center"/>
            </w:pPr>
            <w:r>
              <w:rPr>
                <w:rFonts w:ascii="Times New Roman" w:hAnsi="Times New Roman" w:eastAsia="黑体"/>
                <w:b/>
                <w:sz w:val="19"/>
              </w:rPr>
              <w:t>建议类别</w:t>
            </w:r>
          </w:p>
        </w:tc>
        <w:tc>
          <w:tcPr>
            <w:tcW w:w="1644" w:type="dxa"/>
            <w:vAlign w:val="center"/>
          </w:tcPr>
          <w:p w14:paraId="0D5943D8">
            <w:pPr>
              <w:spacing w:after="0" w:line="240" w:lineRule="auto"/>
              <w:jc w:val="center"/>
            </w:pPr>
            <w:r>
              <w:rPr>
                <w:rFonts w:ascii="Times New Roman" w:hAnsi="Times New Roman" w:eastAsia="黑体"/>
                <w:b/>
                <w:sz w:val="19"/>
              </w:rPr>
              <w:t>牵头院部（协同院部）</w:t>
            </w:r>
          </w:p>
        </w:tc>
        <w:tc>
          <w:tcPr>
            <w:tcW w:w="794" w:type="dxa"/>
            <w:vAlign w:val="center"/>
          </w:tcPr>
          <w:p w14:paraId="32CA56E9">
            <w:pPr>
              <w:spacing w:after="0" w:line="240" w:lineRule="auto"/>
              <w:jc w:val="center"/>
            </w:pPr>
            <w:r>
              <w:rPr>
                <w:rFonts w:ascii="Times New Roman" w:hAnsi="Times New Roman" w:eastAsia="黑体"/>
                <w:b/>
                <w:sz w:val="19"/>
              </w:rPr>
              <w:t>优先级</w:t>
            </w:r>
          </w:p>
        </w:tc>
      </w:tr>
      <w:tr w14:paraId="1068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3C0B16A6">
            <w:pPr>
              <w:spacing w:after="0" w:line="240" w:lineRule="auto"/>
              <w:jc w:val="center"/>
            </w:pPr>
            <w:r>
              <w:rPr>
                <w:rFonts w:ascii="Times New Roman" w:hAnsi="Times New Roman" w:eastAsia="仿宋_GB2312"/>
                <w:b w:val="0"/>
                <w:sz w:val="18"/>
              </w:rPr>
              <w:t>6</w:t>
            </w:r>
          </w:p>
        </w:tc>
        <w:tc>
          <w:tcPr>
            <w:tcW w:w="1644" w:type="dxa"/>
            <w:vAlign w:val="center"/>
          </w:tcPr>
          <w:p w14:paraId="069E83B3">
            <w:pPr>
              <w:spacing w:after="0" w:line="240" w:lineRule="auto"/>
              <w:jc w:val="left"/>
            </w:pPr>
            <w:r>
              <w:rPr>
                <w:rFonts w:ascii="Times New Roman" w:hAnsi="Times New Roman" w:eastAsia="仿宋_GB2312"/>
                <w:b w:val="0"/>
                <w:sz w:val="18"/>
              </w:rPr>
              <w:t>碳排放数据质量核查与碳审计</w:t>
            </w:r>
          </w:p>
        </w:tc>
        <w:tc>
          <w:tcPr>
            <w:tcW w:w="3458" w:type="dxa"/>
            <w:vAlign w:val="center"/>
          </w:tcPr>
          <w:p w14:paraId="6094A1F1">
            <w:pPr>
              <w:spacing w:after="0" w:line="240" w:lineRule="auto"/>
              <w:jc w:val="left"/>
            </w:pPr>
            <w:r>
              <w:rPr>
                <w:rFonts w:ascii="Times New Roman" w:hAnsi="Times New Roman" w:eastAsia="仿宋_GB2312"/>
                <w:b w:val="0"/>
                <w:sz w:val="18"/>
              </w:rPr>
              <w:t>重点排放单位碳数据质量内控与关键参数月度存证；碳排放数据智能核验系统开发；碳审计方法研究；面向企业和碳交易机构的核查技术服务。依托湖北省碳排放权交易中心产学研合作基地。</w:t>
            </w:r>
          </w:p>
        </w:tc>
        <w:tc>
          <w:tcPr>
            <w:tcW w:w="964" w:type="dxa"/>
            <w:vAlign w:val="center"/>
          </w:tcPr>
          <w:p w14:paraId="4A6DF6EB">
            <w:pPr>
              <w:spacing w:after="0" w:line="240" w:lineRule="auto"/>
              <w:jc w:val="center"/>
            </w:pPr>
            <w:r>
              <w:rPr>
                <w:rFonts w:ascii="Times New Roman" w:hAnsi="Times New Roman" w:eastAsia="仿宋_GB2312"/>
                <w:b w:val="0"/>
                <w:sz w:val="18"/>
              </w:rPr>
              <w:t>产教融合型</w:t>
            </w:r>
          </w:p>
        </w:tc>
        <w:tc>
          <w:tcPr>
            <w:tcW w:w="1644" w:type="dxa"/>
            <w:vAlign w:val="center"/>
          </w:tcPr>
          <w:p w14:paraId="6C088386">
            <w:pPr>
              <w:spacing w:after="0" w:line="240" w:lineRule="auto"/>
              <w:jc w:val="left"/>
            </w:pPr>
            <w:r>
              <w:rPr>
                <w:rFonts w:ascii="Times New Roman" w:hAnsi="Times New Roman" w:eastAsia="仿宋_GB2312"/>
                <w:b w:val="0"/>
                <w:sz w:val="18"/>
              </w:rPr>
              <w:t>经济与管理学院（计算机与自动化学院）</w:t>
            </w:r>
          </w:p>
        </w:tc>
        <w:tc>
          <w:tcPr>
            <w:tcW w:w="794" w:type="dxa"/>
            <w:vAlign w:val="center"/>
          </w:tcPr>
          <w:p w14:paraId="317F5187">
            <w:pPr>
              <w:spacing w:after="0" w:line="240" w:lineRule="auto"/>
              <w:jc w:val="center"/>
            </w:pPr>
            <w:r>
              <w:rPr>
                <w:rFonts w:ascii="Times New Roman" w:hAnsi="Times New Roman" w:eastAsia="仿宋_GB2312"/>
                <w:b w:val="0"/>
                <w:sz w:val="18"/>
              </w:rPr>
              <w:t>优先支持</w:t>
            </w:r>
          </w:p>
        </w:tc>
      </w:tr>
      <w:tr w14:paraId="3AAB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BADF01A">
            <w:pPr>
              <w:spacing w:after="0" w:line="240" w:lineRule="auto"/>
              <w:jc w:val="center"/>
            </w:pPr>
            <w:r>
              <w:rPr>
                <w:rFonts w:ascii="Times New Roman" w:hAnsi="Times New Roman" w:eastAsia="仿宋_GB2312"/>
                <w:b w:val="0"/>
                <w:sz w:val="18"/>
              </w:rPr>
              <w:t>7</w:t>
            </w:r>
          </w:p>
        </w:tc>
        <w:tc>
          <w:tcPr>
            <w:tcW w:w="1644" w:type="dxa"/>
            <w:vAlign w:val="center"/>
          </w:tcPr>
          <w:p w14:paraId="4EE1D757">
            <w:pPr>
              <w:spacing w:after="0" w:line="240" w:lineRule="auto"/>
              <w:jc w:val="left"/>
            </w:pPr>
            <w:r>
              <w:rPr>
                <w:rFonts w:ascii="Times New Roman" w:hAnsi="Times New Roman" w:eastAsia="仿宋_GB2312"/>
                <w:b w:val="0"/>
                <w:sz w:val="18"/>
              </w:rPr>
              <w:t>碳市场机制与转型金融</w:t>
            </w:r>
          </w:p>
        </w:tc>
        <w:tc>
          <w:tcPr>
            <w:tcW w:w="3458" w:type="dxa"/>
            <w:vAlign w:val="center"/>
          </w:tcPr>
          <w:p w14:paraId="05B619BC">
            <w:pPr>
              <w:spacing w:after="0" w:line="240" w:lineRule="auto"/>
              <w:jc w:val="left"/>
            </w:pPr>
            <w:r>
              <w:rPr>
                <w:rFonts w:ascii="Times New Roman" w:hAnsi="Times New Roman" w:eastAsia="仿宋_GB2312"/>
                <w:b w:val="0"/>
                <w:sz w:val="18"/>
              </w:rPr>
              <w:t>碳排放配额、核证自愿减排量交易机制；碳质押、碳回购等碳金融工具；转型金融标准与投融资碳核算；碳定价机制研究。</w:t>
            </w:r>
          </w:p>
        </w:tc>
        <w:tc>
          <w:tcPr>
            <w:tcW w:w="964" w:type="dxa"/>
            <w:vAlign w:val="center"/>
          </w:tcPr>
          <w:p w14:paraId="713C77D5">
            <w:pPr>
              <w:spacing w:after="0" w:line="240" w:lineRule="auto"/>
              <w:jc w:val="center"/>
            </w:pPr>
            <w:r>
              <w:rPr>
                <w:rFonts w:ascii="Times New Roman" w:hAnsi="Times New Roman" w:eastAsia="仿宋_GB2312"/>
                <w:b w:val="0"/>
                <w:sz w:val="18"/>
              </w:rPr>
              <w:t>学科建设型</w:t>
            </w:r>
          </w:p>
        </w:tc>
        <w:tc>
          <w:tcPr>
            <w:tcW w:w="1644" w:type="dxa"/>
            <w:vAlign w:val="center"/>
          </w:tcPr>
          <w:p w14:paraId="2634B89C">
            <w:pPr>
              <w:spacing w:after="0" w:line="240" w:lineRule="auto"/>
              <w:jc w:val="left"/>
            </w:pPr>
            <w:r>
              <w:rPr>
                <w:rFonts w:ascii="Times New Roman" w:hAnsi="Times New Roman" w:eastAsia="仿宋_GB2312"/>
                <w:b w:val="0"/>
                <w:sz w:val="18"/>
              </w:rPr>
              <w:t>数智商务与物流学院（经济与管理学院）</w:t>
            </w:r>
          </w:p>
        </w:tc>
        <w:tc>
          <w:tcPr>
            <w:tcW w:w="794" w:type="dxa"/>
            <w:vAlign w:val="center"/>
          </w:tcPr>
          <w:p w14:paraId="47773D5B">
            <w:pPr>
              <w:spacing w:after="0" w:line="240" w:lineRule="auto"/>
              <w:jc w:val="center"/>
            </w:pPr>
            <w:r>
              <w:rPr>
                <w:rFonts w:ascii="Times New Roman" w:hAnsi="Times New Roman" w:eastAsia="仿宋_GB2312"/>
                <w:b w:val="0"/>
                <w:sz w:val="18"/>
              </w:rPr>
              <w:t>培育支持</w:t>
            </w:r>
          </w:p>
        </w:tc>
      </w:tr>
      <w:tr w14:paraId="4802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4CD7FEA">
            <w:pPr>
              <w:spacing w:after="0" w:line="240" w:lineRule="auto"/>
              <w:jc w:val="center"/>
            </w:pPr>
            <w:r>
              <w:rPr>
                <w:rFonts w:ascii="Times New Roman" w:hAnsi="Times New Roman" w:eastAsia="仿宋_GB2312"/>
                <w:b w:val="0"/>
                <w:sz w:val="18"/>
              </w:rPr>
              <w:t>8</w:t>
            </w:r>
          </w:p>
        </w:tc>
        <w:tc>
          <w:tcPr>
            <w:tcW w:w="1644" w:type="dxa"/>
            <w:vAlign w:val="center"/>
          </w:tcPr>
          <w:p w14:paraId="10630E46">
            <w:pPr>
              <w:spacing w:after="0" w:line="240" w:lineRule="auto"/>
              <w:jc w:val="left"/>
            </w:pPr>
            <w:r>
              <w:rPr>
                <w:rFonts w:ascii="Times New Roman" w:hAnsi="Times New Roman" w:eastAsia="仿宋_GB2312"/>
                <w:b w:val="0"/>
                <w:sz w:val="18"/>
              </w:rPr>
              <w:t>碳汇计量监测与CCER方法学开发</w:t>
            </w:r>
          </w:p>
        </w:tc>
        <w:tc>
          <w:tcPr>
            <w:tcW w:w="3458" w:type="dxa"/>
            <w:vAlign w:val="center"/>
          </w:tcPr>
          <w:p w14:paraId="78CF036C">
            <w:pPr>
              <w:spacing w:after="0" w:line="240" w:lineRule="auto"/>
              <w:jc w:val="left"/>
            </w:pPr>
            <w:r>
              <w:rPr>
                <w:rFonts w:ascii="Times New Roman" w:hAnsi="Times New Roman" w:eastAsia="仿宋_GB2312"/>
                <w:b w:val="0"/>
                <w:sz w:val="18"/>
              </w:rPr>
              <w:t>生态系统碳汇监测评估与计量核算；温室气体自愿减排项目方法学开发与项目设计文件编制；减排量核算与核查技术支撑。</w:t>
            </w:r>
          </w:p>
        </w:tc>
        <w:tc>
          <w:tcPr>
            <w:tcW w:w="964" w:type="dxa"/>
            <w:vAlign w:val="center"/>
          </w:tcPr>
          <w:p w14:paraId="4783BDFA">
            <w:pPr>
              <w:spacing w:after="0" w:line="240" w:lineRule="auto"/>
              <w:jc w:val="center"/>
            </w:pPr>
            <w:r>
              <w:rPr>
                <w:rFonts w:ascii="Times New Roman" w:hAnsi="Times New Roman" w:eastAsia="仿宋_GB2312"/>
                <w:b w:val="0"/>
                <w:sz w:val="18"/>
              </w:rPr>
              <w:t>学科建设型</w:t>
            </w:r>
          </w:p>
        </w:tc>
        <w:tc>
          <w:tcPr>
            <w:tcW w:w="1644" w:type="dxa"/>
            <w:vAlign w:val="center"/>
          </w:tcPr>
          <w:p w14:paraId="5C6DAC08">
            <w:pPr>
              <w:spacing w:after="0" w:line="240" w:lineRule="auto"/>
              <w:jc w:val="left"/>
            </w:pPr>
            <w:r>
              <w:rPr>
                <w:rFonts w:ascii="Times New Roman" w:hAnsi="Times New Roman" w:eastAsia="仿宋_GB2312"/>
                <w:b w:val="0"/>
                <w:sz w:val="18"/>
              </w:rPr>
              <w:t>环境与生物工程学院</w:t>
            </w:r>
          </w:p>
        </w:tc>
        <w:tc>
          <w:tcPr>
            <w:tcW w:w="794" w:type="dxa"/>
            <w:vAlign w:val="center"/>
          </w:tcPr>
          <w:p w14:paraId="43A511C5">
            <w:pPr>
              <w:spacing w:after="0" w:line="240" w:lineRule="auto"/>
              <w:jc w:val="center"/>
            </w:pPr>
            <w:r>
              <w:rPr>
                <w:rFonts w:ascii="Times New Roman" w:hAnsi="Times New Roman" w:eastAsia="仿宋_GB2312"/>
                <w:b w:val="0"/>
                <w:sz w:val="18"/>
              </w:rPr>
              <w:t>培育支持</w:t>
            </w:r>
          </w:p>
        </w:tc>
      </w:tr>
      <w:tr w14:paraId="2270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60D7F86">
            <w:pPr>
              <w:spacing w:after="0" w:line="240" w:lineRule="auto"/>
              <w:jc w:val="center"/>
            </w:pPr>
            <w:r>
              <w:rPr>
                <w:rFonts w:ascii="Times New Roman" w:hAnsi="Times New Roman" w:eastAsia="仿宋_GB2312"/>
                <w:b w:val="0"/>
                <w:sz w:val="18"/>
              </w:rPr>
              <w:t>9</w:t>
            </w:r>
          </w:p>
        </w:tc>
        <w:tc>
          <w:tcPr>
            <w:tcW w:w="1644" w:type="dxa"/>
            <w:vAlign w:val="center"/>
          </w:tcPr>
          <w:p w14:paraId="0301583A">
            <w:pPr>
              <w:spacing w:after="0" w:line="240" w:lineRule="auto"/>
              <w:jc w:val="left"/>
            </w:pPr>
            <w:r>
              <w:rPr>
                <w:rFonts w:ascii="Times New Roman" w:hAnsi="Times New Roman" w:eastAsia="仿宋_GB2312"/>
                <w:b w:val="0"/>
                <w:sz w:val="18"/>
              </w:rPr>
              <w:t>区域双碳考核决策支持与绿色数字经济测度</w:t>
            </w:r>
          </w:p>
        </w:tc>
        <w:tc>
          <w:tcPr>
            <w:tcW w:w="3458" w:type="dxa"/>
            <w:vAlign w:val="center"/>
          </w:tcPr>
          <w:p w14:paraId="3D12F89D">
            <w:pPr>
              <w:spacing w:after="0" w:line="240" w:lineRule="auto"/>
              <w:jc w:val="left"/>
            </w:pPr>
            <w:r>
              <w:rPr>
                <w:rFonts w:ascii="Times New Roman" w:hAnsi="Times New Roman" w:eastAsia="仿宋_GB2312"/>
                <w:b w:val="0"/>
                <w:sz w:val="18"/>
              </w:rPr>
              <w:t>碳排放双控指标分解与动态监测预警；双碳综合评价考核第三方核查与自评支撑；绿色数字经济发展指数编制与低碳数字治理，形成决策咨询品牌。</w:t>
            </w:r>
          </w:p>
        </w:tc>
        <w:tc>
          <w:tcPr>
            <w:tcW w:w="964" w:type="dxa"/>
            <w:vAlign w:val="center"/>
          </w:tcPr>
          <w:p w14:paraId="399E2F59">
            <w:pPr>
              <w:spacing w:after="0" w:line="240" w:lineRule="auto"/>
              <w:jc w:val="center"/>
            </w:pPr>
            <w:r>
              <w:rPr>
                <w:rFonts w:ascii="Times New Roman" w:hAnsi="Times New Roman" w:eastAsia="仿宋_GB2312"/>
                <w:b w:val="0"/>
                <w:sz w:val="18"/>
              </w:rPr>
              <w:t>学科建设型</w:t>
            </w:r>
          </w:p>
        </w:tc>
        <w:tc>
          <w:tcPr>
            <w:tcW w:w="1644" w:type="dxa"/>
            <w:vAlign w:val="center"/>
          </w:tcPr>
          <w:p w14:paraId="3ADE495F">
            <w:pPr>
              <w:spacing w:after="0" w:line="240" w:lineRule="auto"/>
              <w:jc w:val="left"/>
            </w:pPr>
            <w:r>
              <w:rPr>
                <w:rFonts w:ascii="Times New Roman" w:hAnsi="Times New Roman" w:eastAsia="仿宋_GB2312"/>
                <w:b w:val="0"/>
                <w:sz w:val="18"/>
              </w:rPr>
              <w:t>数智商务与物流学院（经济与管理学院）</w:t>
            </w:r>
          </w:p>
        </w:tc>
        <w:tc>
          <w:tcPr>
            <w:tcW w:w="794" w:type="dxa"/>
            <w:vAlign w:val="center"/>
          </w:tcPr>
          <w:p w14:paraId="13EDABC1">
            <w:pPr>
              <w:spacing w:after="0" w:line="240" w:lineRule="auto"/>
              <w:jc w:val="center"/>
            </w:pPr>
            <w:r>
              <w:rPr>
                <w:rFonts w:ascii="Times New Roman" w:hAnsi="Times New Roman" w:eastAsia="仿宋_GB2312"/>
                <w:b w:val="0"/>
                <w:sz w:val="18"/>
              </w:rPr>
              <w:t>重点支持</w:t>
            </w:r>
          </w:p>
        </w:tc>
      </w:tr>
      <w:tr w14:paraId="3A714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5F189A0C">
            <w:pPr>
              <w:spacing w:after="0" w:line="240" w:lineRule="auto"/>
              <w:jc w:val="center"/>
            </w:pPr>
            <w:r>
              <w:rPr>
                <w:rFonts w:ascii="Times New Roman" w:hAnsi="Times New Roman" w:eastAsia="仿宋_GB2312"/>
                <w:b w:val="0"/>
                <w:sz w:val="18"/>
              </w:rPr>
              <w:t>10</w:t>
            </w:r>
          </w:p>
        </w:tc>
        <w:tc>
          <w:tcPr>
            <w:tcW w:w="1644" w:type="dxa"/>
            <w:vAlign w:val="center"/>
          </w:tcPr>
          <w:p w14:paraId="137265F5">
            <w:pPr>
              <w:spacing w:after="0" w:line="240" w:lineRule="auto"/>
              <w:jc w:val="left"/>
            </w:pPr>
            <w:r>
              <w:rPr>
                <w:rFonts w:ascii="Times New Roman" w:hAnsi="Times New Roman" w:eastAsia="仿宋_GB2312"/>
                <w:b w:val="0"/>
                <w:sz w:val="18"/>
              </w:rPr>
              <w:t>公共机构能效碳效评价与合同能源管理审计</w:t>
            </w:r>
          </w:p>
        </w:tc>
        <w:tc>
          <w:tcPr>
            <w:tcW w:w="3458" w:type="dxa"/>
            <w:vAlign w:val="center"/>
          </w:tcPr>
          <w:p w14:paraId="11DD3E46">
            <w:pPr>
              <w:spacing w:after="0" w:line="240" w:lineRule="auto"/>
              <w:jc w:val="left"/>
            </w:pPr>
            <w:r>
              <w:rPr>
                <w:rFonts w:ascii="Times New Roman" w:hAnsi="Times New Roman" w:eastAsia="仿宋_GB2312"/>
                <w:b w:val="0"/>
                <w:sz w:val="18"/>
              </w:rPr>
              <w:t>公共机构能效碳效分级与诊断；能源费用托管等合同能源管理项目绩效评价与审计；公共机构碳排放核算与绿色学校评价应用。</w:t>
            </w:r>
          </w:p>
        </w:tc>
        <w:tc>
          <w:tcPr>
            <w:tcW w:w="964" w:type="dxa"/>
            <w:vAlign w:val="center"/>
          </w:tcPr>
          <w:p w14:paraId="0D84224E">
            <w:pPr>
              <w:spacing w:after="0" w:line="240" w:lineRule="auto"/>
              <w:jc w:val="center"/>
            </w:pPr>
            <w:r>
              <w:rPr>
                <w:rFonts w:ascii="Times New Roman" w:hAnsi="Times New Roman" w:eastAsia="仿宋_GB2312"/>
                <w:b w:val="0"/>
                <w:sz w:val="18"/>
              </w:rPr>
              <w:t>产教融合型</w:t>
            </w:r>
          </w:p>
        </w:tc>
        <w:tc>
          <w:tcPr>
            <w:tcW w:w="1644" w:type="dxa"/>
            <w:vAlign w:val="center"/>
          </w:tcPr>
          <w:p w14:paraId="34D817A5">
            <w:pPr>
              <w:spacing w:after="0" w:line="240" w:lineRule="auto"/>
              <w:jc w:val="left"/>
            </w:pPr>
            <w:r>
              <w:rPr>
                <w:rFonts w:ascii="Times New Roman" w:hAnsi="Times New Roman" w:eastAsia="仿宋_GB2312"/>
                <w:b w:val="0"/>
                <w:sz w:val="18"/>
              </w:rPr>
              <w:t>经济与管理学院（能源电气工程学院）</w:t>
            </w:r>
          </w:p>
        </w:tc>
        <w:tc>
          <w:tcPr>
            <w:tcW w:w="794" w:type="dxa"/>
            <w:vAlign w:val="center"/>
          </w:tcPr>
          <w:p w14:paraId="7427C497">
            <w:pPr>
              <w:spacing w:after="0" w:line="240" w:lineRule="auto"/>
              <w:jc w:val="center"/>
            </w:pPr>
            <w:r>
              <w:rPr>
                <w:rFonts w:ascii="Times New Roman" w:hAnsi="Times New Roman" w:eastAsia="仿宋_GB2312"/>
                <w:b w:val="0"/>
                <w:sz w:val="18"/>
              </w:rPr>
              <w:t>重点支持</w:t>
            </w:r>
          </w:p>
        </w:tc>
      </w:tr>
      <w:tr w14:paraId="4357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6D6EAA1">
            <w:pPr>
              <w:spacing w:after="0" w:line="240" w:lineRule="auto"/>
              <w:jc w:val="center"/>
            </w:pPr>
            <w:r>
              <w:rPr>
                <w:rFonts w:ascii="Times New Roman" w:hAnsi="Times New Roman" w:eastAsia="仿宋_GB2312"/>
                <w:b w:val="0"/>
                <w:sz w:val="18"/>
              </w:rPr>
              <w:t>11</w:t>
            </w:r>
          </w:p>
        </w:tc>
        <w:tc>
          <w:tcPr>
            <w:tcW w:w="1644" w:type="dxa"/>
            <w:vAlign w:val="center"/>
          </w:tcPr>
          <w:p w14:paraId="7A13A859">
            <w:pPr>
              <w:spacing w:after="0" w:line="240" w:lineRule="auto"/>
              <w:jc w:val="left"/>
            </w:pPr>
            <w:r>
              <w:rPr>
                <w:rFonts w:ascii="Times New Roman" w:hAnsi="Times New Roman" w:eastAsia="仿宋_GB2312"/>
                <w:b w:val="0"/>
                <w:sz w:val="18"/>
              </w:rPr>
              <w:t>环境舆情智能监测与绿色治理决策咨询</w:t>
            </w:r>
          </w:p>
        </w:tc>
        <w:tc>
          <w:tcPr>
            <w:tcW w:w="3458" w:type="dxa"/>
            <w:vAlign w:val="center"/>
          </w:tcPr>
          <w:p w14:paraId="7F84B04D">
            <w:pPr>
              <w:spacing w:after="0" w:line="240" w:lineRule="auto"/>
              <w:jc w:val="left"/>
            </w:pPr>
            <w:r>
              <w:rPr>
                <w:rFonts w:ascii="Times New Roman" w:hAnsi="Times New Roman" w:eastAsia="仿宋_GB2312"/>
                <w:b w:val="0"/>
                <w:sz w:val="18"/>
              </w:rPr>
              <w:t>环境舆情智能监测与分析；面向生态环境主管部门的双碳决策咨询报告；绿色治理政策评估。依托湖北网络舆情监测与治理研究中心。</w:t>
            </w:r>
          </w:p>
        </w:tc>
        <w:tc>
          <w:tcPr>
            <w:tcW w:w="964" w:type="dxa"/>
            <w:vAlign w:val="center"/>
          </w:tcPr>
          <w:p w14:paraId="64E31224">
            <w:pPr>
              <w:spacing w:after="0" w:line="240" w:lineRule="auto"/>
              <w:jc w:val="center"/>
            </w:pPr>
            <w:r>
              <w:rPr>
                <w:rFonts w:ascii="Times New Roman" w:hAnsi="Times New Roman" w:eastAsia="仿宋_GB2312"/>
                <w:b w:val="0"/>
                <w:sz w:val="18"/>
              </w:rPr>
              <w:t>学科建设型</w:t>
            </w:r>
          </w:p>
        </w:tc>
        <w:tc>
          <w:tcPr>
            <w:tcW w:w="1644" w:type="dxa"/>
            <w:vAlign w:val="center"/>
          </w:tcPr>
          <w:p w14:paraId="29112755">
            <w:pPr>
              <w:spacing w:after="0" w:line="240" w:lineRule="auto"/>
              <w:jc w:val="left"/>
            </w:pPr>
            <w:r>
              <w:rPr>
                <w:rFonts w:ascii="Times New Roman" w:hAnsi="Times New Roman" w:eastAsia="仿宋_GB2312"/>
                <w:b w:val="0"/>
                <w:sz w:val="18"/>
              </w:rPr>
              <w:t>文法学院</w:t>
            </w:r>
          </w:p>
        </w:tc>
        <w:tc>
          <w:tcPr>
            <w:tcW w:w="794" w:type="dxa"/>
            <w:vAlign w:val="center"/>
          </w:tcPr>
          <w:p w14:paraId="32F90E0C">
            <w:pPr>
              <w:spacing w:after="0" w:line="240" w:lineRule="auto"/>
              <w:jc w:val="center"/>
            </w:pPr>
            <w:r>
              <w:rPr>
                <w:rFonts w:ascii="Times New Roman" w:hAnsi="Times New Roman" w:eastAsia="仿宋_GB2312"/>
                <w:b w:val="0"/>
                <w:sz w:val="18"/>
              </w:rPr>
              <w:t>培育支持</w:t>
            </w:r>
          </w:p>
        </w:tc>
      </w:tr>
      <w:tr w14:paraId="32DA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D25DE12">
            <w:pPr>
              <w:spacing w:after="0" w:line="240" w:lineRule="auto"/>
              <w:jc w:val="center"/>
            </w:pPr>
            <w:r>
              <w:rPr>
                <w:rFonts w:ascii="Times New Roman" w:hAnsi="Times New Roman" w:eastAsia="仿宋_GB2312"/>
                <w:b w:val="0"/>
                <w:sz w:val="18"/>
              </w:rPr>
              <w:t>12</w:t>
            </w:r>
          </w:p>
        </w:tc>
        <w:tc>
          <w:tcPr>
            <w:tcW w:w="1644" w:type="dxa"/>
            <w:vAlign w:val="center"/>
          </w:tcPr>
          <w:p w14:paraId="4C3247D5">
            <w:pPr>
              <w:spacing w:after="0" w:line="240" w:lineRule="auto"/>
              <w:jc w:val="left"/>
            </w:pPr>
            <w:r>
              <w:rPr>
                <w:rFonts w:ascii="Times New Roman" w:hAnsi="Times New Roman" w:eastAsia="仿宋_GB2312"/>
                <w:b w:val="0"/>
                <w:sz w:val="18"/>
              </w:rPr>
              <w:t>绿色低碳品牌传播与绿色消费引导</w:t>
            </w:r>
          </w:p>
        </w:tc>
        <w:tc>
          <w:tcPr>
            <w:tcW w:w="3458" w:type="dxa"/>
            <w:vAlign w:val="center"/>
          </w:tcPr>
          <w:p w14:paraId="3CC75451">
            <w:pPr>
              <w:spacing w:after="0" w:line="240" w:lineRule="auto"/>
              <w:jc w:val="left"/>
            </w:pPr>
            <w:r>
              <w:rPr>
                <w:rFonts w:ascii="Times New Roman" w:hAnsi="Times New Roman" w:eastAsia="仿宋_GB2312"/>
                <w:b w:val="0"/>
                <w:sz w:val="18"/>
              </w:rPr>
              <w:t>绿色品牌与ESG传播；碳标识、绿电消费认证的公众认知研究；绿色低碳全民行动宣传策划；绿色消费激励机制研究。</w:t>
            </w:r>
          </w:p>
        </w:tc>
        <w:tc>
          <w:tcPr>
            <w:tcW w:w="964" w:type="dxa"/>
            <w:vAlign w:val="center"/>
          </w:tcPr>
          <w:p w14:paraId="0EC07AFF">
            <w:pPr>
              <w:spacing w:after="0" w:line="240" w:lineRule="auto"/>
              <w:jc w:val="center"/>
            </w:pPr>
            <w:r>
              <w:rPr>
                <w:rFonts w:ascii="Times New Roman" w:hAnsi="Times New Roman" w:eastAsia="仿宋_GB2312"/>
                <w:b w:val="0"/>
                <w:sz w:val="18"/>
              </w:rPr>
              <w:t>学科建设型</w:t>
            </w:r>
          </w:p>
        </w:tc>
        <w:tc>
          <w:tcPr>
            <w:tcW w:w="1644" w:type="dxa"/>
            <w:vAlign w:val="center"/>
          </w:tcPr>
          <w:p w14:paraId="28906BF3">
            <w:pPr>
              <w:spacing w:after="0" w:line="240" w:lineRule="auto"/>
              <w:jc w:val="left"/>
            </w:pPr>
            <w:r>
              <w:rPr>
                <w:rFonts w:ascii="Times New Roman" w:hAnsi="Times New Roman" w:eastAsia="仿宋_GB2312"/>
                <w:b w:val="0"/>
                <w:sz w:val="18"/>
              </w:rPr>
              <w:t>文法学院（艺术与设计学院）</w:t>
            </w:r>
          </w:p>
        </w:tc>
        <w:tc>
          <w:tcPr>
            <w:tcW w:w="794" w:type="dxa"/>
            <w:vAlign w:val="center"/>
          </w:tcPr>
          <w:p w14:paraId="6D37C6C8">
            <w:pPr>
              <w:spacing w:after="0" w:line="240" w:lineRule="auto"/>
              <w:jc w:val="center"/>
            </w:pPr>
            <w:r>
              <w:rPr>
                <w:rFonts w:ascii="Times New Roman" w:hAnsi="Times New Roman" w:eastAsia="仿宋_GB2312"/>
                <w:b w:val="0"/>
                <w:sz w:val="18"/>
              </w:rPr>
              <w:t>培育支持</w:t>
            </w:r>
          </w:p>
        </w:tc>
      </w:tr>
    </w:tbl>
    <w:p w14:paraId="158E1964"/>
    <w:p w14:paraId="34EA60B0">
      <w:pPr>
        <w:spacing w:after="60" w:line="480" w:lineRule="exact"/>
        <w:jc w:val="left"/>
      </w:pPr>
      <w:r>
        <w:rPr>
          <w:rFonts w:ascii="Times New Roman" w:hAnsi="Times New Roman" w:eastAsia="黑体"/>
          <w:b/>
          <w:sz w:val="24"/>
        </w:rPr>
        <w:t>（三）硬科技攻关层（服务能源转型与产业降碳）</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644"/>
        <w:gridCol w:w="3458"/>
        <w:gridCol w:w="964"/>
        <w:gridCol w:w="1644"/>
        <w:gridCol w:w="794"/>
      </w:tblGrid>
      <w:tr w14:paraId="7919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2311D7E3">
            <w:pPr>
              <w:spacing w:after="0" w:line="240" w:lineRule="auto"/>
              <w:jc w:val="center"/>
            </w:pPr>
            <w:r>
              <w:rPr>
                <w:rFonts w:ascii="Times New Roman" w:hAnsi="Times New Roman" w:eastAsia="黑体"/>
                <w:b/>
                <w:sz w:val="19"/>
              </w:rPr>
              <w:t>序号</w:t>
            </w:r>
          </w:p>
        </w:tc>
        <w:tc>
          <w:tcPr>
            <w:tcW w:w="1644" w:type="dxa"/>
            <w:vAlign w:val="center"/>
          </w:tcPr>
          <w:p w14:paraId="4A0095B8">
            <w:pPr>
              <w:spacing w:after="0" w:line="240" w:lineRule="auto"/>
              <w:jc w:val="center"/>
            </w:pPr>
            <w:r>
              <w:rPr>
                <w:rFonts w:ascii="Times New Roman" w:hAnsi="Times New Roman" w:eastAsia="黑体"/>
                <w:b/>
                <w:sz w:val="19"/>
              </w:rPr>
              <w:t>方向名称</w:t>
            </w:r>
          </w:p>
        </w:tc>
        <w:tc>
          <w:tcPr>
            <w:tcW w:w="3458" w:type="dxa"/>
            <w:vAlign w:val="center"/>
          </w:tcPr>
          <w:p w14:paraId="2E4DB2E0">
            <w:pPr>
              <w:spacing w:after="0" w:line="240" w:lineRule="auto"/>
              <w:jc w:val="center"/>
            </w:pPr>
            <w:r>
              <w:rPr>
                <w:rFonts w:ascii="Times New Roman" w:hAnsi="Times New Roman" w:eastAsia="黑体"/>
                <w:b/>
                <w:sz w:val="19"/>
              </w:rPr>
              <w:t>主要研究内容与产学研切入点</w:t>
            </w:r>
          </w:p>
        </w:tc>
        <w:tc>
          <w:tcPr>
            <w:tcW w:w="964" w:type="dxa"/>
            <w:vAlign w:val="center"/>
          </w:tcPr>
          <w:p w14:paraId="1324B727">
            <w:pPr>
              <w:spacing w:after="0" w:line="240" w:lineRule="auto"/>
              <w:jc w:val="center"/>
            </w:pPr>
            <w:r>
              <w:rPr>
                <w:rFonts w:ascii="Times New Roman" w:hAnsi="Times New Roman" w:eastAsia="黑体"/>
                <w:b/>
                <w:sz w:val="19"/>
              </w:rPr>
              <w:t>建议类别</w:t>
            </w:r>
          </w:p>
        </w:tc>
        <w:tc>
          <w:tcPr>
            <w:tcW w:w="1644" w:type="dxa"/>
            <w:vAlign w:val="center"/>
          </w:tcPr>
          <w:p w14:paraId="16320955">
            <w:pPr>
              <w:spacing w:after="0" w:line="240" w:lineRule="auto"/>
              <w:jc w:val="center"/>
            </w:pPr>
            <w:r>
              <w:rPr>
                <w:rFonts w:ascii="Times New Roman" w:hAnsi="Times New Roman" w:eastAsia="黑体"/>
                <w:b/>
                <w:sz w:val="19"/>
              </w:rPr>
              <w:t>牵头院部（协同院部）</w:t>
            </w:r>
          </w:p>
        </w:tc>
        <w:tc>
          <w:tcPr>
            <w:tcW w:w="794" w:type="dxa"/>
            <w:vAlign w:val="center"/>
          </w:tcPr>
          <w:p w14:paraId="48BCD26B">
            <w:pPr>
              <w:spacing w:after="0" w:line="240" w:lineRule="auto"/>
              <w:jc w:val="center"/>
            </w:pPr>
            <w:r>
              <w:rPr>
                <w:rFonts w:ascii="Times New Roman" w:hAnsi="Times New Roman" w:eastAsia="黑体"/>
                <w:b/>
                <w:sz w:val="19"/>
              </w:rPr>
              <w:t>优先级</w:t>
            </w:r>
          </w:p>
        </w:tc>
      </w:tr>
      <w:tr w14:paraId="7CFA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745B6B5">
            <w:pPr>
              <w:spacing w:after="0" w:line="240" w:lineRule="auto"/>
              <w:jc w:val="center"/>
            </w:pPr>
            <w:r>
              <w:rPr>
                <w:rFonts w:ascii="Times New Roman" w:hAnsi="Times New Roman" w:eastAsia="仿宋_GB2312"/>
                <w:b w:val="0"/>
                <w:sz w:val="18"/>
              </w:rPr>
              <w:t>13</w:t>
            </w:r>
          </w:p>
        </w:tc>
        <w:tc>
          <w:tcPr>
            <w:tcW w:w="1644" w:type="dxa"/>
            <w:vAlign w:val="center"/>
          </w:tcPr>
          <w:p w14:paraId="00A4C4CC">
            <w:pPr>
              <w:spacing w:after="0" w:line="240" w:lineRule="auto"/>
              <w:jc w:val="left"/>
            </w:pPr>
            <w:r>
              <w:rPr>
                <w:rFonts w:ascii="Times New Roman" w:hAnsi="Times New Roman" w:eastAsia="仿宋_GB2312"/>
                <w:b w:val="0"/>
                <w:sz w:val="18"/>
              </w:rPr>
              <w:t>校园光储直柔与零碳公共机构建设（学校绿色低碳转型旗舰方向）</w:t>
            </w:r>
          </w:p>
        </w:tc>
        <w:tc>
          <w:tcPr>
            <w:tcW w:w="3458" w:type="dxa"/>
            <w:vAlign w:val="center"/>
          </w:tcPr>
          <w:p w14:paraId="5458B7F4">
            <w:pPr>
              <w:spacing w:after="0" w:line="240" w:lineRule="auto"/>
              <w:jc w:val="left"/>
            </w:pPr>
            <w:r>
              <w:rPr>
                <w:rFonts w:ascii="Times New Roman" w:hAnsi="Times New Roman" w:eastAsia="仿宋_GB2312"/>
                <w:b w:val="0"/>
                <w:sz w:val="18"/>
              </w:rPr>
              <w:t>以学校校园为首个示范场景，集成建筑光伏一体化、智能微电网、蓄冷蓄热、光储直柔、虚拟电厂等技术；建设校园能碳管理平台；形成可复制方案向省内学校、医院等公共机构输出。</w:t>
            </w:r>
          </w:p>
        </w:tc>
        <w:tc>
          <w:tcPr>
            <w:tcW w:w="964" w:type="dxa"/>
            <w:vAlign w:val="center"/>
          </w:tcPr>
          <w:p w14:paraId="7449AB15">
            <w:pPr>
              <w:spacing w:after="0" w:line="240" w:lineRule="auto"/>
              <w:jc w:val="center"/>
            </w:pPr>
            <w:r>
              <w:rPr>
                <w:rFonts w:ascii="Times New Roman" w:hAnsi="Times New Roman" w:eastAsia="仿宋_GB2312"/>
                <w:b w:val="0"/>
                <w:sz w:val="18"/>
              </w:rPr>
              <w:t>产教融合型</w:t>
            </w:r>
          </w:p>
        </w:tc>
        <w:tc>
          <w:tcPr>
            <w:tcW w:w="1644" w:type="dxa"/>
            <w:vAlign w:val="center"/>
          </w:tcPr>
          <w:p w14:paraId="60D0F4FD">
            <w:pPr>
              <w:spacing w:after="0" w:line="240" w:lineRule="auto"/>
              <w:jc w:val="left"/>
            </w:pPr>
            <w:r>
              <w:rPr>
                <w:rFonts w:ascii="Times New Roman" w:hAnsi="Times New Roman" w:eastAsia="仿宋_GB2312"/>
                <w:b w:val="0"/>
                <w:sz w:val="18"/>
              </w:rPr>
              <w:t>能源电气工程学院（人工智能学院、计算机与自动化学院、经济与管理学院）</w:t>
            </w:r>
          </w:p>
        </w:tc>
        <w:tc>
          <w:tcPr>
            <w:tcW w:w="794" w:type="dxa"/>
            <w:vAlign w:val="center"/>
          </w:tcPr>
          <w:p w14:paraId="35A8CEF2">
            <w:pPr>
              <w:spacing w:after="0" w:line="240" w:lineRule="auto"/>
              <w:jc w:val="center"/>
            </w:pPr>
            <w:r>
              <w:rPr>
                <w:rFonts w:ascii="Times New Roman" w:hAnsi="Times New Roman" w:eastAsia="仿宋_GB2312"/>
                <w:b w:val="0"/>
                <w:sz w:val="18"/>
              </w:rPr>
              <w:t>优先支持</w:t>
            </w:r>
          </w:p>
        </w:tc>
      </w:tr>
      <w:tr w14:paraId="72EBC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2B9EB06B">
            <w:pPr>
              <w:spacing w:after="0" w:line="240" w:lineRule="auto"/>
              <w:jc w:val="center"/>
            </w:pPr>
            <w:r>
              <w:rPr>
                <w:rFonts w:ascii="Times New Roman" w:hAnsi="Times New Roman" w:eastAsia="仿宋_GB2312"/>
                <w:b w:val="0"/>
                <w:sz w:val="18"/>
              </w:rPr>
              <w:t>14</w:t>
            </w:r>
          </w:p>
        </w:tc>
        <w:tc>
          <w:tcPr>
            <w:tcW w:w="1644" w:type="dxa"/>
            <w:vAlign w:val="center"/>
          </w:tcPr>
          <w:p w14:paraId="5CA8230B">
            <w:pPr>
              <w:spacing w:after="0" w:line="240" w:lineRule="auto"/>
              <w:jc w:val="left"/>
            </w:pPr>
            <w:r>
              <w:rPr>
                <w:rFonts w:ascii="Times New Roman" w:hAnsi="Times New Roman" w:eastAsia="仿宋_GB2312"/>
                <w:b w:val="0"/>
                <w:sz w:val="18"/>
              </w:rPr>
              <w:t>新能源微电网、虚拟电厂与电力市场交易</w:t>
            </w:r>
          </w:p>
        </w:tc>
        <w:tc>
          <w:tcPr>
            <w:tcW w:w="3458" w:type="dxa"/>
            <w:vAlign w:val="center"/>
          </w:tcPr>
          <w:p w14:paraId="3DD877D1">
            <w:pPr>
              <w:spacing w:after="0" w:line="240" w:lineRule="auto"/>
              <w:jc w:val="left"/>
            </w:pPr>
            <w:r>
              <w:rPr>
                <w:rFonts w:ascii="Times New Roman" w:hAnsi="Times New Roman" w:eastAsia="仿宋_GB2312"/>
                <w:b w:val="0"/>
                <w:sz w:val="18"/>
              </w:rPr>
              <w:t>智能微电网能量管理平台；虚拟电厂聚合与电力需求侧响应；电力市场智能交易决策；源网荷储一体化技术应用。</w:t>
            </w:r>
          </w:p>
        </w:tc>
        <w:tc>
          <w:tcPr>
            <w:tcW w:w="964" w:type="dxa"/>
            <w:vAlign w:val="center"/>
          </w:tcPr>
          <w:p w14:paraId="01BFB8C3">
            <w:pPr>
              <w:spacing w:after="0" w:line="240" w:lineRule="auto"/>
              <w:jc w:val="center"/>
            </w:pPr>
            <w:r>
              <w:rPr>
                <w:rFonts w:ascii="Times New Roman" w:hAnsi="Times New Roman" w:eastAsia="仿宋_GB2312"/>
                <w:b w:val="0"/>
                <w:sz w:val="18"/>
              </w:rPr>
              <w:t>产教融合型</w:t>
            </w:r>
          </w:p>
        </w:tc>
        <w:tc>
          <w:tcPr>
            <w:tcW w:w="1644" w:type="dxa"/>
            <w:vAlign w:val="center"/>
          </w:tcPr>
          <w:p w14:paraId="1C889789">
            <w:pPr>
              <w:spacing w:after="0" w:line="240" w:lineRule="auto"/>
              <w:jc w:val="left"/>
            </w:pPr>
            <w:r>
              <w:rPr>
                <w:rFonts w:ascii="Times New Roman" w:hAnsi="Times New Roman" w:eastAsia="仿宋_GB2312"/>
                <w:b w:val="0"/>
                <w:sz w:val="18"/>
              </w:rPr>
              <w:t>能源电气工程学院（人工智能学院、计算机与自动化学院）</w:t>
            </w:r>
          </w:p>
        </w:tc>
        <w:tc>
          <w:tcPr>
            <w:tcW w:w="794" w:type="dxa"/>
            <w:vAlign w:val="center"/>
          </w:tcPr>
          <w:p w14:paraId="2B8EE575">
            <w:pPr>
              <w:spacing w:after="0" w:line="240" w:lineRule="auto"/>
              <w:jc w:val="center"/>
            </w:pPr>
            <w:r>
              <w:rPr>
                <w:rFonts w:ascii="Times New Roman" w:hAnsi="Times New Roman" w:eastAsia="仿宋_GB2312"/>
                <w:b w:val="0"/>
                <w:sz w:val="18"/>
              </w:rPr>
              <w:t>优先支持</w:t>
            </w:r>
          </w:p>
        </w:tc>
      </w:tr>
      <w:tr w14:paraId="7092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1AB286A">
            <w:pPr>
              <w:spacing w:after="0" w:line="240" w:lineRule="auto"/>
              <w:jc w:val="center"/>
            </w:pPr>
            <w:r>
              <w:rPr>
                <w:rFonts w:ascii="Times New Roman" w:hAnsi="Times New Roman" w:eastAsia="仿宋_GB2312"/>
                <w:b w:val="0"/>
                <w:sz w:val="18"/>
              </w:rPr>
              <w:t>15</w:t>
            </w:r>
          </w:p>
        </w:tc>
        <w:tc>
          <w:tcPr>
            <w:tcW w:w="1644" w:type="dxa"/>
            <w:vAlign w:val="center"/>
          </w:tcPr>
          <w:p w14:paraId="5E61AD9E">
            <w:pPr>
              <w:spacing w:after="0" w:line="240" w:lineRule="auto"/>
              <w:jc w:val="left"/>
            </w:pPr>
            <w:r>
              <w:rPr>
                <w:rFonts w:ascii="Times New Roman" w:hAnsi="Times New Roman" w:eastAsia="仿宋_GB2312"/>
                <w:b w:val="0"/>
                <w:sz w:val="18"/>
              </w:rPr>
              <w:t>零碳园区（工厂）综合能源系统集成</w:t>
            </w:r>
          </w:p>
        </w:tc>
        <w:tc>
          <w:tcPr>
            <w:tcW w:w="3458" w:type="dxa"/>
            <w:vAlign w:val="center"/>
          </w:tcPr>
          <w:p w14:paraId="2F8C720A">
            <w:pPr>
              <w:spacing w:after="0" w:line="240" w:lineRule="auto"/>
              <w:jc w:val="left"/>
            </w:pPr>
            <w:r>
              <w:rPr>
                <w:rFonts w:ascii="Times New Roman" w:hAnsi="Times New Roman" w:eastAsia="仿宋_GB2312"/>
                <w:b w:val="0"/>
                <w:sz w:val="18"/>
              </w:rPr>
              <w:t>零碳园区、零碳工厂方案设计；绿电直连与工业绿色微电网；数字化能碳管理中心建设；园区可再生能源就地消纳。建议与方向14联合组建、错位分工。</w:t>
            </w:r>
          </w:p>
        </w:tc>
        <w:tc>
          <w:tcPr>
            <w:tcW w:w="964" w:type="dxa"/>
            <w:vAlign w:val="center"/>
          </w:tcPr>
          <w:p w14:paraId="1513C1BD">
            <w:pPr>
              <w:spacing w:after="0" w:line="240" w:lineRule="auto"/>
              <w:jc w:val="center"/>
            </w:pPr>
            <w:r>
              <w:rPr>
                <w:rFonts w:ascii="Times New Roman" w:hAnsi="Times New Roman" w:eastAsia="仿宋_GB2312"/>
                <w:b w:val="0"/>
                <w:sz w:val="18"/>
              </w:rPr>
              <w:t>产教融合型</w:t>
            </w:r>
          </w:p>
        </w:tc>
        <w:tc>
          <w:tcPr>
            <w:tcW w:w="1644" w:type="dxa"/>
            <w:vAlign w:val="center"/>
          </w:tcPr>
          <w:p w14:paraId="24A04DFB">
            <w:pPr>
              <w:spacing w:after="0" w:line="240" w:lineRule="auto"/>
              <w:jc w:val="left"/>
            </w:pPr>
            <w:r>
              <w:rPr>
                <w:rFonts w:ascii="Times New Roman" w:hAnsi="Times New Roman" w:eastAsia="仿宋_GB2312"/>
                <w:b w:val="0"/>
                <w:sz w:val="18"/>
              </w:rPr>
              <w:t>能源电气工程学院（人工智能学院、环境与生物工程学院）</w:t>
            </w:r>
          </w:p>
        </w:tc>
        <w:tc>
          <w:tcPr>
            <w:tcW w:w="794" w:type="dxa"/>
            <w:vAlign w:val="center"/>
          </w:tcPr>
          <w:p w14:paraId="02B54553">
            <w:pPr>
              <w:spacing w:after="0" w:line="240" w:lineRule="auto"/>
              <w:jc w:val="center"/>
            </w:pPr>
            <w:r>
              <w:rPr>
                <w:rFonts w:ascii="Times New Roman" w:hAnsi="Times New Roman" w:eastAsia="仿宋_GB2312"/>
                <w:b w:val="0"/>
                <w:sz w:val="18"/>
              </w:rPr>
              <w:t>重点支持</w:t>
            </w:r>
          </w:p>
        </w:tc>
      </w:tr>
      <w:tr w14:paraId="71BD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45C39F4">
            <w:pPr>
              <w:spacing w:after="0" w:line="240" w:lineRule="auto"/>
              <w:jc w:val="center"/>
            </w:pPr>
            <w:r>
              <w:rPr>
                <w:rFonts w:ascii="Times New Roman" w:hAnsi="Times New Roman" w:eastAsia="仿宋_GB2312"/>
                <w:b w:val="0"/>
                <w:sz w:val="18"/>
              </w:rPr>
              <w:t>16</w:t>
            </w:r>
          </w:p>
        </w:tc>
        <w:tc>
          <w:tcPr>
            <w:tcW w:w="1644" w:type="dxa"/>
            <w:vAlign w:val="center"/>
          </w:tcPr>
          <w:p w14:paraId="18A9FD9C">
            <w:pPr>
              <w:spacing w:after="0" w:line="240" w:lineRule="auto"/>
              <w:jc w:val="left"/>
            </w:pPr>
            <w:r>
              <w:rPr>
                <w:rFonts w:ascii="Times New Roman" w:hAnsi="Times New Roman" w:eastAsia="仿宋_GB2312"/>
                <w:b w:val="0"/>
                <w:sz w:val="18"/>
              </w:rPr>
              <w:t>绿色能源智能运维与机器人控制</w:t>
            </w:r>
          </w:p>
        </w:tc>
        <w:tc>
          <w:tcPr>
            <w:tcW w:w="3458" w:type="dxa"/>
            <w:vAlign w:val="center"/>
          </w:tcPr>
          <w:p w14:paraId="476D697F">
            <w:pPr>
              <w:spacing w:after="0" w:line="240" w:lineRule="auto"/>
              <w:jc w:val="left"/>
            </w:pPr>
            <w:r>
              <w:rPr>
                <w:rFonts w:ascii="Times New Roman" w:hAnsi="Times New Roman" w:eastAsia="仿宋_GB2312"/>
                <w:b w:val="0"/>
                <w:sz w:val="18"/>
              </w:rPr>
              <w:t>风光储电站智能感知与运维机器人；新能源装备故障诊断；核心技术成果转化，服务新能源企业。依托智能制造与数智生活研究中心。</w:t>
            </w:r>
          </w:p>
        </w:tc>
        <w:tc>
          <w:tcPr>
            <w:tcW w:w="964" w:type="dxa"/>
            <w:vAlign w:val="center"/>
          </w:tcPr>
          <w:p w14:paraId="62E5CAC5">
            <w:pPr>
              <w:spacing w:after="0" w:line="240" w:lineRule="auto"/>
              <w:jc w:val="center"/>
            </w:pPr>
            <w:r>
              <w:rPr>
                <w:rFonts w:ascii="Times New Roman" w:hAnsi="Times New Roman" w:eastAsia="仿宋_GB2312"/>
                <w:b w:val="0"/>
                <w:sz w:val="18"/>
              </w:rPr>
              <w:t>产教融合型</w:t>
            </w:r>
          </w:p>
        </w:tc>
        <w:tc>
          <w:tcPr>
            <w:tcW w:w="1644" w:type="dxa"/>
            <w:vAlign w:val="center"/>
          </w:tcPr>
          <w:p w14:paraId="61C33F4A">
            <w:pPr>
              <w:spacing w:after="0" w:line="240" w:lineRule="auto"/>
              <w:jc w:val="left"/>
            </w:pPr>
            <w:r>
              <w:rPr>
                <w:rFonts w:ascii="Times New Roman" w:hAnsi="Times New Roman" w:eastAsia="仿宋_GB2312"/>
                <w:b w:val="0"/>
                <w:sz w:val="18"/>
              </w:rPr>
              <w:t>计算机与自动化学院（人工智能学院）</w:t>
            </w:r>
          </w:p>
        </w:tc>
        <w:tc>
          <w:tcPr>
            <w:tcW w:w="794" w:type="dxa"/>
            <w:vAlign w:val="center"/>
          </w:tcPr>
          <w:p w14:paraId="7FC9DAA3">
            <w:pPr>
              <w:spacing w:after="0" w:line="240" w:lineRule="auto"/>
              <w:jc w:val="center"/>
            </w:pPr>
            <w:r>
              <w:rPr>
                <w:rFonts w:ascii="Times New Roman" w:hAnsi="Times New Roman" w:eastAsia="仿宋_GB2312"/>
                <w:b w:val="0"/>
                <w:sz w:val="18"/>
              </w:rPr>
              <w:t>重点支持</w:t>
            </w:r>
          </w:p>
        </w:tc>
      </w:tr>
      <w:tr w14:paraId="19A0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4BA1FA6E">
            <w:pPr>
              <w:spacing w:after="0" w:line="240" w:lineRule="auto"/>
              <w:jc w:val="center"/>
            </w:pPr>
            <w:r>
              <w:rPr>
                <w:rFonts w:ascii="Times New Roman" w:hAnsi="Times New Roman" w:eastAsia="仿宋_GB2312"/>
                <w:b w:val="0"/>
                <w:sz w:val="18"/>
              </w:rPr>
              <w:t>17</w:t>
            </w:r>
          </w:p>
        </w:tc>
        <w:tc>
          <w:tcPr>
            <w:tcW w:w="1644" w:type="dxa"/>
            <w:vAlign w:val="center"/>
          </w:tcPr>
          <w:p w14:paraId="257BA9B3">
            <w:pPr>
              <w:spacing w:after="0" w:line="240" w:lineRule="auto"/>
              <w:jc w:val="left"/>
            </w:pPr>
            <w:r>
              <w:rPr>
                <w:rFonts w:ascii="Times New Roman" w:hAnsi="Times New Roman" w:eastAsia="仿宋_GB2312"/>
                <w:b w:val="0"/>
                <w:sz w:val="18"/>
              </w:rPr>
              <w:t>能碳数据智能监测与CBAM数字化申报工具</w:t>
            </w:r>
          </w:p>
        </w:tc>
        <w:tc>
          <w:tcPr>
            <w:tcW w:w="3458" w:type="dxa"/>
            <w:vAlign w:val="center"/>
          </w:tcPr>
          <w:p w14:paraId="3D83F6BC">
            <w:pPr>
              <w:spacing w:after="0" w:line="240" w:lineRule="auto"/>
              <w:jc w:val="left"/>
            </w:pPr>
            <w:r>
              <w:rPr>
                <w:rFonts w:ascii="Times New Roman" w:hAnsi="Times New Roman" w:eastAsia="仿宋_GB2312"/>
                <w:b w:val="0"/>
                <w:sz w:val="18"/>
              </w:rPr>
              <w:t>能碳数据采集—核算—申报一体化工具（SaaS）开发；基于区块链、物联网的碳数据质量管控；数字化能碳管理平台。</w:t>
            </w:r>
          </w:p>
        </w:tc>
        <w:tc>
          <w:tcPr>
            <w:tcW w:w="964" w:type="dxa"/>
            <w:vAlign w:val="center"/>
          </w:tcPr>
          <w:p w14:paraId="7B8B7B92">
            <w:pPr>
              <w:spacing w:after="0" w:line="240" w:lineRule="auto"/>
              <w:jc w:val="center"/>
            </w:pPr>
            <w:r>
              <w:rPr>
                <w:rFonts w:ascii="Times New Roman" w:hAnsi="Times New Roman" w:eastAsia="仿宋_GB2312"/>
                <w:b w:val="0"/>
                <w:sz w:val="18"/>
              </w:rPr>
              <w:t>产教融合型</w:t>
            </w:r>
          </w:p>
        </w:tc>
        <w:tc>
          <w:tcPr>
            <w:tcW w:w="1644" w:type="dxa"/>
            <w:vAlign w:val="center"/>
          </w:tcPr>
          <w:p w14:paraId="1B5BCF99">
            <w:pPr>
              <w:spacing w:after="0" w:line="240" w:lineRule="auto"/>
              <w:jc w:val="left"/>
            </w:pPr>
            <w:r>
              <w:rPr>
                <w:rFonts w:ascii="Times New Roman" w:hAnsi="Times New Roman" w:eastAsia="仿宋_GB2312"/>
                <w:b w:val="0"/>
                <w:sz w:val="18"/>
              </w:rPr>
              <w:t>计算机与自动化学院（人工智能学院、经济与管理学院）</w:t>
            </w:r>
          </w:p>
        </w:tc>
        <w:tc>
          <w:tcPr>
            <w:tcW w:w="794" w:type="dxa"/>
            <w:vAlign w:val="center"/>
          </w:tcPr>
          <w:p w14:paraId="23E8227B">
            <w:pPr>
              <w:spacing w:after="0" w:line="240" w:lineRule="auto"/>
              <w:jc w:val="center"/>
            </w:pPr>
            <w:r>
              <w:rPr>
                <w:rFonts w:ascii="Times New Roman" w:hAnsi="Times New Roman" w:eastAsia="仿宋_GB2312"/>
                <w:b w:val="0"/>
                <w:sz w:val="18"/>
              </w:rPr>
              <w:t>重点支持</w:t>
            </w:r>
          </w:p>
        </w:tc>
      </w:tr>
      <w:tr w14:paraId="1179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57F6C95">
            <w:pPr>
              <w:spacing w:after="0" w:line="240" w:lineRule="auto"/>
              <w:jc w:val="center"/>
            </w:pPr>
            <w:r>
              <w:rPr>
                <w:rFonts w:ascii="Times New Roman" w:hAnsi="Times New Roman" w:eastAsia="仿宋_GB2312"/>
                <w:b w:val="0"/>
                <w:sz w:val="18"/>
              </w:rPr>
              <w:t>18</w:t>
            </w:r>
          </w:p>
        </w:tc>
        <w:tc>
          <w:tcPr>
            <w:tcW w:w="1644" w:type="dxa"/>
            <w:vAlign w:val="center"/>
          </w:tcPr>
          <w:p w14:paraId="0840B17D">
            <w:pPr>
              <w:spacing w:after="0" w:line="240" w:lineRule="auto"/>
              <w:jc w:val="left"/>
            </w:pPr>
            <w:r>
              <w:rPr>
                <w:rFonts w:ascii="Times New Roman" w:hAnsi="Times New Roman" w:eastAsia="仿宋_GB2312"/>
                <w:b w:val="0"/>
                <w:sz w:val="18"/>
              </w:rPr>
              <w:t>污水资源化与环境微生物修复</w:t>
            </w:r>
          </w:p>
        </w:tc>
        <w:tc>
          <w:tcPr>
            <w:tcW w:w="3458" w:type="dxa"/>
            <w:vAlign w:val="center"/>
          </w:tcPr>
          <w:p w14:paraId="3A1FBFD2">
            <w:pPr>
              <w:spacing w:after="0" w:line="240" w:lineRule="auto"/>
              <w:jc w:val="left"/>
            </w:pPr>
            <w:r>
              <w:rPr>
                <w:rFonts w:ascii="Times New Roman" w:hAnsi="Times New Roman" w:eastAsia="仿宋_GB2312"/>
                <w:b w:val="0"/>
                <w:sz w:val="18"/>
              </w:rPr>
              <w:t>污水深度处理与资源化利用；环境微生物修复技术方案与工程示范；面向园区和企业的水环境治理服务。依托湖北省污水资源化工程技术研究中心、院士工作站等平台。</w:t>
            </w:r>
          </w:p>
        </w:tc>
        <w:tc>
          <w:tcPr>
            <w:tcW w:w="964" w:type="dxa"/>
            <w:vAlign w:val="center"/>
          </w:tcPr>
          <w:p w14:paraId="77F153DB">
            <w:pPr>
              <w:spacing w:after="0" w:line="240" w:lineRule="auto"/>
              <w:jc w:val="center"/>
            </w:pPr>
            <w:r>
              <w:rPr>
                <w:rFonts w:ascii="Times New Roman" w:hAnsi="Times New Roman" w:eastAsia="仿宋_GB2312"/>
                <w:b w:val="0"/>
                <w:sz w:val="18"/>
              </w:rPr>
              <w:t>产教融合型</w:t>
            </w:r>
          </w:p>
        </w:tc>
        <w:tc>
          <w:tcPr>
            <w:tcW w:w="1644" w:type="dxa"/>
            <w:vAlign w:val="center"/>
          </w:tcPr>
          <w:p w14:paraId="7DADB6FF">
            <w:pPr>
              <w:spacing w:after="0" w:line="240" w:lineRule="auto"/>
              <w:jc w:val="left"/>
            </w:pPr>
            <w:r>
              <w:rPr>
                <w:rFonts w:ascii="Times New Roman" w:hAnsi="Times New Roman" w:eastAsia="仿宋_GB2312"/>
                <w:b w:val="0"/>
                <w:sz w:val="18"/>
              </w:rPr>
              <w:t>环境与生物工程学院</w:t>
            </w:r>
          </w:p>
        </w:tc>
        <w:tc>
          <w:tcPr>
            <w:tcW w:w="794" w:type="dxa"/>
            <w:vAlign w:val="center"/>
          </w:tcPr>
          <w:p w14:paraId="3378CD7F">
            <w:pPr>
              <w:spacing w:after="0" w:line="240" w:lineRule="auto"/>
              <w:jc w:val="center"/>
            </w:pPr>
            <w:r>
              <w:rPr>
                <w:rFonts w:ascii="Times New Roman" w:hAnsi="Times New Roman" w:eastAsia="仿宋_GB2312"/>
                <w:b w:val="0"/>
                <w:sz w:val="18"/>
              </w:rPr>
              <w:t>优先支持</w:t>
            </w:r>
          </w:p>
        </w:tc>
      </w:tr>
      <w:tr w14:paraId="7302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98358BE">
            <w:pPr>
              <w:spacing w:after="0" w:line="240" w:lineRule="auto"/>
              <w:jc w:val="center"/>
            </w:pPr>
            <w:r>
              <w:rPr>
                <w:rFonts w:ascii="Times New Roman" w:hAnsi="Times New Roman" w:eastAsia="仿宋_GB2312"/>
                <w:b w:val="0"/>
                <w:sz w:val="18"/>
              </w:rPr>
              <w:t>19</w:t>
            </w:r>
          </w:p>
        </w:tc>
        <w:tc>
          <w:tcPr>
            <w:tcW w:w="1644" w:type="dxa"/>
            <w:vAlign w:val="center"/>
          </w:tcPr>
          <w:p w14:paraId="2ADD6EEC">
            <w:pPr>
              <w:spacing w:after="0" w:line="240" w:lineRule="auto"/>
              <w:jc w:val="left"/>
            </w:pPr>
            <w:r>
              <w:rPr>
                <w:rFonts w:ascii="Times New Roman" w:hAnsi="Times New Roman" w:eastAsia="仿宋_GB2312"/>
                <w:b w:val="0"/>
                <w:sz w:val="18"/>
              </w:rPr>
              <w:t>低碳环境功能材料与新能源储能材料</w:t>
            </w:r>
          </w:p>
        </w:tc>
        <w:tc>
          <w:tcPr>
            <w:tcW w:w="3458" w:type="dxa"/>
            <w:vAlign w:val="center"/>
          </w:tcPr>
          <w:p w14:paraId="6483D84A">
            <w:pPr>
              <w:spacing w:after="0" w:line="240" w:lineRule="auto"/>
              <w:jc w:val="left"/>
            </w:pPr>
            <w:r>
              <w:rPr>
                <w:rFonts w:ascii="Times New Roman" w:hAnsi="Times New Roman" w:eastAsia="仿宋_GB2312"/>
                <w:b w:val="0"/>
                <w:sz w:val="18"/>
              </w:rPr>
              <w:t>低碳催化氧化功能材料与模块化工艺包；液流电池等储能材料与装备研发；专利转化与成果推广。可由“储能材料与技术创新团队”变更升级。</w:t>
            </w:r>
          </w:p>
        </w:tc>
        <w:tc>
          <w:tcPr>
            <w:tcW w:w="964" w:type="dxa"/>
            <w:vAlign w:val="center"/>
          </w:tcPr>
          <w:p w14:paraId="3F41CBC4">
            <w:pPr>
              <w:spacing w:after="0" w:line="240" w:lineRule="auto"/>
              <w:jc w:val="center"/>
            </w:pPr>
            <w:r>
              <w:rPr>
                <w:rFonts w:ascii="Times New Roman" w:hAnsi="Times New Roman" w:eastAsia="仿宋_GB2312"/>
                <w:b w:val="0"/>
                <w:sz w:val="18"/>
              </w:rPr>
              <w:t>产教融合型</w:t>
            </w:r>
          </w:p>
        </w:tc>
        <w:tc>
          <w:tcPr>
            <w:tcW w:w="1644" w:type="dxa"/>
            <w:vAlign w:val="center"/>
          </w:tcPr>
          <w:p w14:paraId="17B1AACF">
            <w:pPr>
              <w:spacing w:after="0" w:line="240" w:lineRule="auto"/>
              <w:jc w:val="left"/>
            </w:pPr>
            <w:r>
              <w:rPr>
                <w:rFonts w:ascii="Times New Roman" w:hAnsi="Times New Roman" w:eastAsia="仿宋_GB2312"/>
                <w:b w:val="0"/>
                <w:sz w:val="18"/>
              </w:rPr>
              <w:t>环境与生物工程学院</w:t>
            </w:r>
          </w:p>
        </w:tc>
        <w:tc>
          <w:tcPr>
            <w:tcW w:w="794" w:type="dxa"/>
            <w:vAlign w:val="center"/>
          </w:tcPr>
          <w:p w14:paraId="1133A1B1">
            <w:pPr>
              <w:spacing w:after="0" w:line="240" w:lineRule="auto"/>
              <w:jc w:val="center"/>
            </w:pPr>
            <w:r>
              <w:rPr>
                <w:rFonts w:ascii="Times New Roman" w:hAnsi="Times New Roman" w:eastAsia="仿宋_GB2312"/>
                <w:b w:val="0"/>
                <w:sz w:val="18"/>
              </w:rPr>
              <w:t>优先支持</w:t>
            </w:r>
          </w:p>
        </w:tc>
      </w:tr>
      <w:tr w14:paraId="22C7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24FF6E0E">
            <w:pPr>
              <w:spacing w:after="0" w:line="240" w:lineRule="auto"/>
              <w:jc w:val="center"/>
            </w:pPr>
            <w:r>
              <w:rPr>
                <w:rFonts w:ascii="Times New Roman" w:hAnsi="Times New Roman" w:eastAsia="仿宋_GB2312"/>
                <w:b w:val="0"/>
                <w:sz w:val="18"/>
              </w:rPr>
              <w:t>20</w:t>
            </w:r>
          </w:p>
        </w:tc>
        <w:tc>
          <w:tcPr>
            <w:tcW w:w="1644" w:type="dxa"/>
            <w:vAlign w:val="center"/>
          </w:tcPr>
          <w:p w14:paraId="4F27AEC7">
            <w:pPr>
              <w:spacing w:after="0" w:line="240" w:lineRule="auto"/>
              <w:jc w:val="left"/>
            </w:pPr>
            <w:r>
              <w:rPr>
                <w:rFonts w:ascii="Times New Roman" w:hAnsi="Times New Roman" w:eastAsia="仿宋_GB2312"/>
                <w:b w:val="0"/>
                <w:sz w:val="18"/>
              </w:rPr>
              <w:t>退役新能源设备与废旧动力电池循环利用</w:t>
            </w:r>
          </w:p>
        </w:tc>
        <w:tc>
          <w:tcPr>
            <w:tcW w:w="3458" w:type="dxa"/>
            <w:vAlign w:val="center"/>
          </w:tcPr>
          <w:p w14:paraId="48FA1AB9">
            <w:pPr>
              <w:spacing w:after="0" w:line="240" w:lineRule="auto"/>
              <w:jc w:val="left"/>
            </w:pPr>
            <w:r>
              <w:rPr>
                <w:rFonts w:ascii="Times New Roman" w:hAnsi="Times New Roman" w:eastAsia="仿宋_GB2312"/>
                <w:b w:val="0"/>
                <w:sz w:val="18"/>
              </w:rPr>
              <w:t>废旧动力电池、退役风电光伏设备规范化回收与精细化利用；大宗固体废弃物综合利用；再生材料推广应用。可由“固废资源化利用创新团队”变更升级。</w:t>
            </w:r>
          </w:p>
        </w:tc>
        <w:tc>
          <w:tcPr>
            <w:tcW w:w="964" w:type="dxa"/>
            <w:vAlign w:val="center"/>
          </w:tcPr>
          <w:p w14:paraId="775B9C13">
            <w:pPr>
              <w:spacing w:after="0" w:line="240" w:lineRule="auto"/>
              <w:jc w:val="center"/>
            </w:pPr>
            <w:r>
              <w:rPr>
                <w:rFonts w:ascii="Times New Roman" w:hAnsi="Times New Roman" w:eastAsia="仿宋_GB2312"/>
                <w:b w:val="0"/>
                <w:sz w:val="18"/>
              </w:rPr>
              <w:t>产教融合型</w:t>
            </w:r>
          </w:p>
        </w:tc>
        <w:tc>
          <w:tcPr>
            <w:tcW w:w="1644" w:type="dxa"/>
            <w:vAlign w:val="center"/>
          </w:tcPr>
          <w:p w14:paraId="3DF5DF34">
            <w:pPr>
              <w:spacing w:after="0" w:line="240" w:lineRule="auto"/>
              <w:jc w:val="left"/>
            </w:pPr>
            <w:r>
              <w:rPr>
                <w:rFonts w:ascii="Times New Roman" w:hAnsi="Times New Roman" w:eastAsia="仿宋_GB2312"/>
                <w:b w:val="0"/>
                <w:sz w:val="18"/>
              </w:rPr>
              <w:t>环境与生物工程学院</w:t>
            </w:r>
          </w:p>
        </w:tc>
        <w:tc>
          <w:tcPr>
            <w:tcW w:w="794" w:type="dxa"/>
            <w:vAlign w:val="center"/>
          </w:tcPr>
          <w:p w14:paraId="049253B1">
            <w:pPr>
              <w:spacing w:after="0" w:line="240" w:lineRule="auto"/>
              <w:jc w:val="center"/>
            </w:pPr>
            <w:r>
              <w:rPr>
                <w:rFonts w:ascii="Times New Roman" w:hAnsi="Times New Roman" w:eastAsia="仿宋_GB2312"/>
                <w:b w:val="0"/>
                <w:sz w:val="18"/>
              </w:rPr>
              <w:t>重点支持</w:t>
            </w:r>
          </w:p>
        </w:tc>
      </w:tr>
    </w:tbl>
    <w:p w14:paraId="32E5CD66"/>
    <w:p w14:paraId="4F796774">
      <w:pPr>
        <w:spacing w:after="80" w:line="480" w:lineRule="exact"/>
        <w:jc w:val="left"/>
      </w:pPr>
      <w:r>
        <w:rPr>
          <w:rFonts w:ascii="Times New Roman" w:hAnsi="Times New Roman" w:eastAsia="黑体"/>
          <w:b/>
          <w:sz w:val="28"/>
        </w:rPr>
        <w:t>四、存量团队衔接建议</w:t>
      </w:r>
    </w:p>
    <w:p w14:paraId="38B308F2">
      <w:pPr>
        <w:spacing w:after="80" w:line="440" w:lineRule="exact"/>
        <w:ind w:firstLine="480"/>
        <w:jc w:val="left"/>
      </w:pPr>
      <w:r>
        <w:rPr>
          <w:rFonts w:ascii="Times New Roman" w:hAnsi="Times New Roman" w:eastAsia="仿宋_GB2312"/>
          <w:b w:val="0"/>
          <w:sz w:val="24"/>
        </w:rPr>
        <w:t>（一）</w:t>
      </w:r>
      <w:r>
        <w:rPr>
          <w:rFonts w:hint="eastAsia" w:ascii="Times New Roman" w:hAnsi="Times New Roman" w:eastAsia="仿宋_GB2312"/>
          <w:b w:val="0"/>
          <w:sz w:val="24"/>
          <w:lang w:val="en-US" w:eastAsia="zh-CN"/>
        </w:rPr>
        <w:t>3个校级一般学术团队</w:t>
      </w:r>
      <w:r>
        <w:rPr>
          <w:rFonts w:ascii="Times New Roman" w:hAnsi="Times New Roman" w:eastAsia="仿宋_GB2312"/>
          <w:b w:val="0"/>
          <w:sz w:val="24"/>
        </w:rPr>
        <w:t>“储能材料与技术创新团队”可变更升级为方向19；“固废资源化利用创新团队”可变更升级为方</w:t>
      </w:r>
      <w:bookmarkStart w:id="0" w:name="_GoBack"/>
      <w:bookmarkEnd w:id="0"/>
      <w:r>
        <w:rPr>
          <w:rFonts w:ascii="Times New Roman" w:hAnsi="Times New Roman" w:eastAsia="仿宋_GB2312"/>
          <w:b w:val="0"/>
          <w:sz w:val="24"/>
        </w:rPr>
        <w:t>向20；“数字供应链管理优化与服务创新科研团队”可变更升级为方向5。</w:t>
      </w:r>
    </w:p>
    <w:p w14:paraId="67BF0F3E">
      <w:pPr>
        <w:spacing w:after="80" w:line="440" w:lineRule="exact"/>
        <w:ind w:firstLine="480"/>
        <w:jc w:val="left"/>
      </w:pPr>
      <w:r>
        <w:rPr>
          <w:rFonts w:ascii="Times New Roman" w:hAnsi="Times New Roman" w:eastAsia="仿宋_GB2312"/>
          <w:b w:val="0"/>
          <w:sz w:val="24"/>
        </w:rPr>
        <w:t>（二）7个校级专项学术团队，可按研究方向分别转设至本清单相应方向，具体对应关系详见“五、存量专项团队转设方向建议对应表”，按《武汉工商学院产学研团队管理办法》重新认定。</w:t>
      </w:r>
    </w:p>
    <w:p w14:paraId="4B58EE49">
      <w:pPr>
        <w:spacing w:after="80" w:line="440" w:lineRule="exact"/>
        <w:ind w:firstLine="480"/>
        <w:jc w:val="left"/>
      </w:pPr>
      <w:r>
        <w:rPr>
          <w:rFonts w:ascii="Times New Roman" w:hAnsi="Times New Roman" w:eastAsia="仿宋_GB2312"/>
          <w:b w:val="0"/>
          <w:sz w:val="24"/>
        </w:rPr>
        <w:t>（三）经济与管理学院审计</w:t>
      </w:r>
      <w:r>
        <w:rPr>
          <w:rFonts w:hint="eastAsia" w:ascii="Times New Roman" w:hAnsi="Times New Roman" w:eastAsia="仿宋_GB2312"/>
          <w:b w:val="0"/>
          <w:sz w:val="24"/>
          <w:lang w:val="en-US" w:eastAsia="zh-CN"/>
        </w:rPr>
        <w:t>学科</w:t>
      </w:r>
      <w:r>
        <w:rPr>
          <w:rFonts w:ascii="Times New Roman" w:hAnsi="Times New Roman" w:eastAsia="仿宋_GB2312"/>
          <w:b w:val="0"/>
          <w:sz w:val="24"/>
        </w:rPr>
        <w:t>、文法学院新闻</w:t>
      </w:r>
      <w:r>
        <w:rPr>
          <w:rFonts w:hint="eastAsia" w:ascii="Times New Roman" w:hAnsi="Times New Roman" w:eastAsia="仿宋_GB2312"/>
          <w:b w:val="0"/>
          <w:sz w:val="24"/>
          <w:lang w:val="en-US" w:eastAsia="zh-CN"/>
        </w:rPr>
        <w:t>与</w:t>
      </w:r>
      <w:r>
        <w:rPr>
          <w:rFonts w:ascii="Times New Roman" w:hAnsi="Times New Roman" w:eastAsia="仿宋_GB2312"/>
          <w:b w:val="0"/>
          <w:sz w:val="24"/>
        </w:rPr>
        <w:t>传播</w:t>
      </w:r>
      <w:r>
        <w:rPr>
          <w:rFonts w:hint="eastAsia" w:ascii="Times New Roman" w:hAnsi="Times New Roman" w:eastAsia="仿宋_GB2312"/>
          <w:b w:val="0"/>
          <w:sz w:val="24"/>
          <w:lang w:val="en-US" w:eastAsia="zh-CN"/>
        </w:rPr>
        <w:t>学科</w:t>
      </w:r>
      <w:r>
        <w:rPr>
          <w:rFonts w:ascii="Times New Roman" w:hAnsi="Times New Roman" w:eastAsia="仿宋_GB2312"/>
          <w:b w:val="0"/>
          <w:sz w:val="24"/>
        </w:rPr>
        <w:t>现有学术团队，可结合学科基础凝练变更至方向2、6、10、11、12。</w:t>
      </w:r>
    </w:p>
    <w:p w14:paraId="0933A61D">
      <w:pPr>
        <w:spacing w:after="80" w:line="440" w:lineRule="exact"/>
        <w:ind w:firstLine="480"/>
        <w:jc w:val="left"/>
      </w:pPr>
      <w:r>
        <w:rPr>
          <w:rFonts w:ascii="Times New Roman" w:hAnsi="Times New Roman" w:eastAsia="仿宋_GB2312"/>
          <w:b w:val="0"/>
          <w:sz w:val="24"/>
        </w:rPr>
        <w:t>（四）各院部在统筹变更时，应避免多个团队扎堆同一方向；方向13、14、15建议由能源电气工程学院牵头整合组建，防止重复申报。</w:t>
      </w:r>
    </w:p>
    <w:p w14:paraId="657437DE">
      <w:pPr>
        <w:spacing w:after="80" w:line="480" w:lineRule="exact"/>
        <w:jc w:val="left"/>
      </w:pPr>
      <w:r>
        <w:rPr>
          <w:rFonts w:ascii="Times New Roman" w:hAnsi="Times New Roman" w:eastAsia="黑体"/>
          <w:b/>
          <w:sz w:val="28"/>
        </w:rPr>
        <w:t>五、存量专项团队转设方向建议对应表</w:t>
      </w:r>
    </w:p>
    <w:p w14:paraId="605EA071">
      <w:pPr>
        <w:spacing w:after="80" w:line="440" w:lineRule="exact"/>
        <w:ind w:firstLine="480"/>
        <w:jc w:val="left"/>
      </w:pPr>
      <w:r>
        <w:rPr>
          <w:rFonts w:ascii="Times New Roman" w:hAnsi="Times New Roman" w:eastAsia="仿宋_GB2312"/>
          <w:b w:val="0"/>
          <w:sz w:val="24"/>
        </w:rPr>
        <w:t>根据《关于武汉工商学院校级学术团队变更与新增立项（含储能等相关研究方向团队）的通知》（校科技〔2025〕8号），“新型电力系统与绿色金融创新团队”等7个校级专项学术团队均须按《办法》第三十五条规定完成转设。结合各团队原研究方向与本清单方向的对应关系，提出转设方向建议如下表。</w:t>
      </w:r>
    </w:p>
    <w:tbl>
      <w:tblPr>
        <w:tblStyle w:val="33"/>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980"/>
        <w:gridCol w:w="1710"/>
        <w:gridCol w:w="1590"/>
        <w:gridCol w:w="1662"/>
        <w:gridCol w:w="2028"/>
      </w:tblGrid>
      <w:tr w14:paraId="4DC1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2092DCE7">
            <w:pPr>
              <w:spacing w:after="0" w:line="240" w:lineRule="auto"/>
              <w:jc w:val="center"/>
            </w:pPr>
            <w:r>
              <w:rPr>
                <w:rFonts w:ascii="Times New Roman" w:hAnsi="Times New Roman" w:eastAsia="黑体"/>
                <w:b/>
                <w:sz w:val="19"/>
              </w:rPr>
              <w:t>序号</w:t>
            </w:r>
          </w:p>
        </w:tc>
        <w:tc>
          <w:tcPr>
            <w:tcW w:w="1980" w:type="dxa"/>
            <w:vAlign w:val="center"/>
          </w:tcPr>
          <w:p w14:paraId="676C63D6">
            <w:pPr>
              <w:spacing w:after="0" w:line="240" w:lineRule="auto"/>
              <w:jc w:val="center"/>
            </w:pPr>
            <w:r>
              <w:rPr>
                <w:rFonts w:ascii="Times New Roman" w:hAnsi="Times New Roman" w:eastAsia="黑体"/>
                <w:b/>
                <w:sz w:val="19"/>
              </w:rPr>
              <w:t>专项团队名称（编号／原依托院部）</w:t>
            </w:r>
          </w:p>
        </w:tc>
        <w:tc>
          <w:tcPr>
            <w:tcW w:w="1710" w:type="dxa"/>
            <w:vAlign w:val="center"/>
          </w:tcPr>
          <w:p w14:paraId="2A6E3081">
            <w:pPr>
              <w:spacing w:after="0" w:line="240" w:lineRule="auto"/>
              <w:jc w:val="center"/>
            </w:pPr>
            <w:r>
              <w:rPr>
                <w:rFonts w:ascii="Times New Roman" w:hAnsi="Times New Roman" w:eastAsia="黑体"/>
                <w:b/>
                <w:sz w:val="19"/>
              </w:rPr>
              <w:t>原研究方向</w:t>
            </w:r>
          </w:p>
        </w:tc>
        <w:tc>
          <w:tcPr>
            <w:tcW w:w="1590" w:type="dxa"/>
            <w:vAlign w:val="center"/>
          </w:tcPr>
          <w:p w14:paraId="7C49C6C4">
            <w:pPr>
              <w:spacing w:after="0" w:line="240" w:lineRule="auto"/>
              <w:jc w:val="center"/>
            </w:pPr>
            <w:r>
              <w:rPr>
                <w:rFonts w:ascii="Times New Roman" w:hAnsi="Times New Roman" w:eastAsia="黑体"/>
                <w:b/>
                <w:sz w:val="19"/>
              </w:rPr>
              <w:t>首选转设方向</w:t>
            </w:r>
          </w:p>
        </w:tc>
        <w:tc>
          <w:tcPr>
            <w:tcW w:w="1662" w:type="dxa"/>
            <w:vAlign w:val="center"/>
          </w:tcPr>
          <w:p w14:paraId="2B223B89">
            <w:pPr>
              <w:spacing w:after="0" w:line="240" w:lineRule="auto"/>
              <w:jc w:val="center"/>
            </w:pPr>
            <w:r>
              <w:rPr>
                <w:rFonts w:ascii="Times New Roman" w:hAnsi="Times New Roman" w:eastAsia="黑体"/>
                <w:b/>
                <w:sz w:val="19"/>
              </w:rPr>
              <w:t>可兼顾方向</w:t>
            </w:r>
          </w:p>
        </w:tc>
        <w:tc>
          <w:tcPr>
            <w:tcW w:w="2028" w:type="dxa"/>
            <w:vAlign w:val="center"/>
          </w:tcPr>
          <w:p w14:paraId="474E2F5F">
            <w:pPr>
              <w:spacing w:after="0" w:line="240" w:lineRule="auto"/>
              <w:jc w:val="center"/>
            </w:pPr>
            <w:r>
              <w:rPr>
                <w:rFonts w:ascii="Times New Roman" w:hAnsi="Times New Roman" w:eastAsia="黑体"/>
                <w:b/>
                <w:sz w:val="19"/>
              </w:rPr>
              <w:t>对应说明</w:t>
            </w:r>
          </w:p>
        </w:tc>
      </w:tr>
      <w:tr w14:paraId="7B51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46884164">
            <w:pPr>
              <w:spacing w:after="0" w:line="240" w:lineRule="auto"/>
              <w:jc w:val="left"/>
            </w:pPr>
            <w:r>
              <w:rPr>
                <w:rFonts w:ascii="Times New Roman" w:hAnsi="Times New Roman" w:eastAsia="仿宋_GB2312"/>
                <w:b w:val="0"/>
                <w:sz w:val="18"/>
              </w:rPr>
              <w:t>1</w:t>
            </w:r>
          </w:p>
        </w:tc>
        <w:tc>
          <w:tcPr>
            <w:tcW w:w="1980" w:type="dxa"/>
            <w:vAlign w:val="center"/>
          </w:tcPr>
          <w:p w14:paraId="7A7F2182">
            <w:pPr>
              <w:spacing w:after="0" w:line="240" w:lineRule="auto"/>
              <w:jc w:val="left"/>
            </w:pPr>
            <w:r>
              <w:rPr>
                <w:rFonts w:ascii="Times New Roman" w:hAnsi="Times New Roman" w:eastAsia="仿宋_GB2312"/>
                <w:b w:val="0"/>
                <w:sz w:val="18"/>
              </w:rPr>
              <w:t>新型电力系统与绿色金融创新团队（WZT2025001／经济与管理学院）</w:t>
            </w:r>
          </w:p>
        </w:tc>
        <w:tc>
          <w:tcPr>
            <w:tcW w:w="1710" w:type="dxa"/>
            <w:vAlign w:val="center"/>
          </w:tcPr>
          <w:p w14:paraId="3E285EF7">
            <w:pPr>
              <w:spacing w:after="0" w:line="240" w:lineRule="auto"/>
              <w:jc w:val="left"/>
            </w:pPr>
            <w:r>
              <w:rPr>
                <w:rFonts w:ascii="Times New Roman" w:hAnsi="Times New Roman" w:eastAsia="仿宋_GB2312"/>
                <w:b w:val="0"/>
                <w:sz w:val="18"/>
              </w:rPr>
              <w:t>电力现货市场金融机制创新、新能源与储能商业模式研究</w:t>
            </w:r>
          </w:p>
        </w:tc>
        <w:tc>
          <w:tcPr>
            <w:tcW w:w="1590" w:type="dxa"/>
            <w:vAlign w:val="center"/>
          </w:tcPr>
          <w:p w14:paraId="248DFEA8">
            <w:pPr>
              <w:spacing w:after="0" w:line="240" w:lineRule="auto"/>
              <w:jc w:val="left"/>
            </w:pPr>
            <w:r>
              <w:rPr>
                <w:rFonts w:ascii="Times New Roman" w:hAnsi="Times New Roman" w:eastAsia="仿宋_GB2312"/>
                <w:b w:val="0"/>
                <w:sz w:val="18"/>
              </w:rPr>
              <w:t>方向7 碳市场机制与转型金融（学科建设型·培育支持）</w:t>
            </w:r>
          </w:p>
        </w:tc>
        <w:tc>
          <w:tcPr>
            <w:tcW w:w="1662" w:type="dxa"/>
            <w:vAlign w:val="center"/>
          </w:tcPr>
          <w:p w14:paraId="3C56C745">
            <w:pPr>
              <w:spacing w:after="0" w:line="240" w:lineRule="auto"/>
              <w:jc w:val="left"/>
            </w:pPr>
            <w:r>
              <w:rPr>
                <w:rFonts w:ascii="Times New Roman" w:hAnsi="Times New Roman" w:eastAsia="仿宋_GB2312"/>
                <w:b w:val="0"/>
                <w:sz w:val="18"/>
              </w:rPr>
              <w:t>方向14 新能源微电网、虚拟电厂与电力市场交易；方向3 绿证绿电交易与产品碳足迹绿电抵扣</w:t>
            </w:r>
          </w:p>
        </w:tc>
        <w:tc>
          <w:tcPr>
            <w:tcW w:w="2028" w:type="dxa"/>
            <w:vAlign w:val="center"/>
          </w:tcPr>
          <w:p w14:paraId="24A4766F">
            <w:pPr>
              <w:spacing w:after="0" w:line="240" w:lineRule="auto"/>
              <w:jc w:val="left"/>
            </w:pPr>
            <w:r>
              <w:rPr>
                <w:rFonts w:ascii="Times New Roman" w:hAnsi="Times New Roman" w:eastAsia="仿宋_GB2312"/>
                <w:b w:val="0"/>
                <w:sz w:val="18"/>
              </w:rPr>
              <w:t>“电力现货市场金融机制、绿色金融”与方向7直接对应；若转产教融合型，可将电力市场交易子方向并入方向14，作为协同力量</w:t>
            </w:r>
          </w:p>
        </w:tc>
      </w:tr>
      <w:tr w14:paraId="6F04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2F51CA1F">
            <w:pPr>
              <w:spacing w:after="0" w:line="240" w:lineRule="auto"/>
              <w:jc w:val="left"/>
            </w:pPr>
            <w:r>
              <w:rPr>
                <w:rFonts w:ascii="Times New Roman" w:hAnsi="Times New Roman" w:eastAsia="仿宋_GB2312"/>
                <w:b w:val="0"/>
                <w:sz w:val="18"/>
              </w:rPr>
              <w:t>2</w:t>
            </w:r>
          </w:p>
        </w:tc>
        <w:tc>
          <w:tcPr>
            <w:tcW w:w="1980" w:type="dxa"/>
            <w:vAlign w:val="center"/>
          </w:tcPr>
          <w:p w14:paraId="6122DDE8">
            <w:pPr>
              <w:spacing w:after="0" w:line="240" w:lineRule="auto"/>
              <w:jc w:val="left"/>
            </w:pPr>
            <w:r>
              <w:rPr>
                <w:rFonts w:ascii="Times New Roman" w:hAnsi="Times New Roman" w:eastAsia="仿宋_GB2312"/>
                <w:b w:val="0"/>
                <w:sz w:val="18"/>
              </w:rPr>
              <w:t>智能驱动与绿色能源风险交叉学术团队（WZT2025002／数智商务与物流学院）</w:t>
            </w:r>
          </w:p>
        </w:tc>
        <w:tc>
          <w:tcPr>
            <w:tcW w:w="1710" w:type="dxa"/>
            <w:vAlign w:val="center"/>
          </w:tcPr>
          <w:p w14:paraId="4A699A87">
            <w:pPr>
              <w:spacing w:after="0" w:line="240" w:lineRule="auto"/>
              <w:jc w:val="left"/>
            </w:pPr>
            <w:r>
              <w:rPr>
                <w:rFonts w:ascii="Times New Roman" w:hAnsi="Times New Roman" w:eastAsia="仿宋_GB2312"/>
                <w:b w:val="0"/>
                <w:sz w:val="18"/>
              </w:rPr>
              <w:t>智能驱动、绿色能源、风险控制</w:t>
            </w:r>
          </w:p>
        </w:tc>
        <w:tc>
          <w:tcPr>
            <w:tcW w:w="1590" w:type="dxa"/>
            <w:vAlign w:val="center"/>
          </w:tcPr>
          <w:p w14:paraId="5172B367">
            <w:pPr>
              <w:spacing w:after="0" w:line="240" w:lineRule="auto"/>
              <w:jc w:val="left"/>
            </w:pPr>
            <w:r>
              <w:rPr>
                <w:rFonts w:ascii="Times New Roman" w:hAnsi="Times New Roman" w:eastAsia="仿宋_GB2312"/>
                <w:b w:val="0"/>
                <w:sz w:val="18"/>
              </w:rPr>
              <w:t>方向3 绿证绿电交易与产品碳足迹绿电抵扣（产教融合型·重点支持）</w:t>
            </w:r>
          </w:p>
        </w:tc>
        <w:tc>
          <w:tcPr>
            <w:tcW w:w="1662" w:type="dxa"/>
            <w:vAlign w:val="center"/>
          </w:tcPr>
          <w:p w14:paraId="7087B688">
            <w:pPr>
              <w:spacing w:after="0" w:line="240" w:lineRule="auto"/>
              <w:jc w:val="left"/>
            </w:pPr>
            <w:r>
              <w:rPr>
                <w:rFonts w:ascii="Times New Roman" w:hAnsi="Times New Roman" w:eastAsia="仿宋_GB2312"/>
                <w:b w:val="0"/>
                <w:sz w:val="18"/>
              </w:rPr>
              <w:t>方向9 区域双碳考核决策支持与绿色数字经济测度；方向7 碳市场机制与转型金融</w:t>
            </w:r>
          </w:p>
        </w:tc>
        <w:tc>
          <w:tcPr>
            <w:tcW w:w="2028" w:type="dxa"/>
            <w:vAlign w:val="center"/>
          </w:tcPr>
          <w:p w14:paraId="09D50CEA">
            <w:pPr>
              <w:spacing w:after="0" w:line="240" w:lineRule="auto"/>
              <w:jc w:val="left"/>
            </w:pPr>
            <w:r>
              <w:rPr>
                <w:rFonts w:ascii="Times New Roman" w:hAnsi="Times New Roman" w:eastAsia="仿宋_GB2312"/>
                <w:b w:val="0"/>
                <w:sz w:val="18"/>
              </w:rPr>
              <w:t>方向3牵头院部与团队依托院部一致；绿色能源风险研究可延伸至绿电交易风险与碳金融风险</w:t>
            </w:r>
          </w:p>
        </w:tc>
      </w:tr>
      <w:tr w14:paraId="6A19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10F03371">
            <w:pPr>
              <w:spacing w:after="0" w:line="240" w:lineRule="auto"/>
              <w:jc w:val="left"/>
            </w:pPr>
            <w:r>
              <w:rPr>
                <w:rFonts w:ascii="Times New Roman" w:hAnsi="Times New Roman" w:eastAsia="仿宋_GB2312"/>
                <w:b w:val="0"/>
                <w:sz w:val="18"/>
              </w:rPr>
              <w:t>3</w:t>
            </w:r>
          </w:p>
        </w:tc>
        <w:tc>
          <w:tcPr>
            <w:tcW w:w="1980" w:type="dxa"/>
            <w:vAlign w:val="center"/>
          </w:tcPr>
          <w:p w14:paraId="59DAAA70">
            <w:pPr>
              <w:spacing w:after="0" w:line="240" w:lineRule="auto"/>
              <w:jc w:val="left"/>
            </w:pPr>
            <w:r>
              <w:rPr>
                <w:rFonts w:ascii="Times New Roman" w:hAnsi="Times New Roman" w:eastAsia="仿宋_GB2312"/>
                <w:b w:val="0"/>
                <w:sz w:val="18"/>
              </w:rPr>
              <w:t>智慧能源管理平台（WZT2025003／计算机与自动化学院）</w:t>
            </w:r>
          </w:p>
        </w:tc>
        <w:tc>
          <w:tcPr>
            <w:tcW w:w="1710" w:type="dxa"/>
            <w:vAlign w:val="center"/>
          </w:tcPr>
          <w:p w14:paraId="4B2D86B6">
            <w:pPr>
              <w:spacing w:after="0" w:line="240" w:lineRule="auto"/>
              <w:jc w:val="left"/>
            </w:pPr>
            <w:r>
              <w:rPr>
                <w:rFonts w:ascii="Times New Roman" w:hAnsi="Times New Roman" w:eastAsia="仿宋_GB2312"/>
                <w:b w:val="0"/>
                <w:sz w:val="18"/>
              </w:rPr>
              <w:t>智慧能源</w:t>
            </w:r>
          </w:p>
        </w:tc>
        <w:tc>
          <w:tcPr>
            <w:tcW w:w="1590" w:type="dxa"/>
            <w:vAlign w:val="center"/>
          </w:tcPr>
          <w:p w14:paraId="397ABF2D">
            <w:pPr>
              <w:spacing w:after="0" w:line="240" w:lineRule="auto"/>
              <w:jc w:val="left"/>
            </w:pPr>
            <w:r>
              <w:rPr>
                <w:rFonts w:ascii="Times New Roman" w:hAnsi="Times New Roman" w:eastAsia="仿宋_GB2312"/>
                <w:b w:val="0"/>
                <w:sz w:val="18"/>
              </w:rPr>
              <w:t>方向17 能碳数据智能监测与CBAM数字化申报工具（产教融合型·重点支持）</w:t>
            </w:r>
          </w:p>
        </w:tc>
        <w:tc>
          <w:tcPr>
            <w:tcW w:w="1662" w:type="dxa"/>
            <w:vAlign w:val="center"/>
          </w:tcPr>
          <w:p w14:paraId="16038BAE">
            <w:pPr>
              <w:spacing w:after="0" w:line="240" w:lineRule="auto"/>
              <w:jc w:val="left"/>
            </w:pPr>
            <w:r>
              <w:rPr>
                <w:rFonts w:ascii="Times New Roman" w:hAnsi="Times New Roman" w:eastAsia="仿宋_GB2312"/>
                <w:b w:val="0"/>
                <w:sz w:val="18"/>
              </w:rPr>
              <w:t>方向14 新能源微电网、虚拟电厂与电力市场交易；方向13 校园光储直柔与零碳公共机构建设</w:t>
            </w:r>
          </w:p>
        </w:tc>
        <w:tc>
          <w:tcPr>
            <w:tcW w:w="2028" w:type="dxa"/>
            <w:vAlign w:val="center"/>
          </w:tcPr>
          <w:p w14:paraId="6F130F31">
            <w:pPr>
              <w:spacing w:after="0" w:line="240" w:lineRule="auto"/>
              <w:jc w:val="left"/>
            </w:pPr>
            <w:r>
              <w:rPr>
                <w:rFonts w:ascii="Times New Roman" w:hAnsi="Times New Roman" w:eastAsia="仿宋_GB2312"/>
                <w:b w:val="0"/>
                <w:sz w:val="18"/>
              </w:rPr>
              <w:t>方向17牵头院部与团队依托院部一致；平台技术可支撑方向13、14的数字化调度，具备跨方向协同条件</w:t>
            </w:r>
          </w:p>
        </w:tc>
      </w:tr>
      <w:tr w14:paraId="1C77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35A0C57F">
            <w:pPr>
              <w:spacing w:after="0" w:line="240" w:lineRule="auto"/>
              <w:jc w:val="left"/>
            </w:pPr>
            <w:r>
              <w:rPr>
                <w:rFonts w:ascii="Times New Roman" w:hAnsi="Times New Roman" w:eastAsia="仿宋_GB2312"/>
                <w:b w:val="0"/>
                <w:sz w:val="18"/>
              </w:rPr>
              <w:t>4</w:t>
            </w:r>
          </w:p>
        </w:tc>
        <w:tc>
          <w:tcPr>
            <w:tcW w:w="1980" w:type="dxa"/>
            <w:vAlign w:val="center"/>
          </w:tcPr>
          <w:p w14:paraId="2810BF72">
            <w:pPr>
              <w:spacing w:after="0" w:line="240" w:lineRule="auto"/>
              <w:jc w:val="left"/>
            </w:pPr>
            <w:r>
              <w:rPr>
                <w:rFonts w:ascii="Times New Roman" w:hAnsi="Times New Roman" w:eastAsia="仿宋_GB2312"/>
                <w:b w:val="0"/>
                <w:sz w:val="18"/>
              </w:rPr>
              <w:t>储能产业智慧物流网络规划（WZT2025004／数智商务与物流学院）</w:t>
            </w:r>
          </w:p>
        </w:tc>
        <w:tc>
          <w:tcPr>
            <w:tcW w:w="1710" w:type="dxa"/>
            <w:vAlign w:val="center"/>
          </w:tcPr>
          <w:p w14:paraId="72B994DD">
            <w:pPr>
              <w:spacing w:after="0" w:line="240" w:lineRule="auto"/>
              <w:jc w:val="left"/>
            </w:pPr>
            <w:r>
              <w:rPr>
                <w:rFonts w:ascii="Times New Roman" w:hAnsi="Times New Roman" w:eastAsia="仿宋_GB2312"/>
                <w:b w:val="0"/>
                <w:sz w:val="18"/>
              </w:rPr>
              <w:t>物流系统分析与优化</w:t>
            </w:r>
          </w:p>
        </w:tc>
        <w:tc>
          <w:tcPr>
            <w:tcW w:w="1590" w:type="dxa"/>
            <w:vAlign w:val="center"/>
          </w:tcPr>
          <w:p w14:paraId="2C01EE9F">
            <w:pPr>
              <w:spacing w:after="0" w:line="240" w:lineRule="auto"/>
              <w:jc w:val="left"/>
            </w:pPr>
            <w:r>
              <w:rPr>
                <w:rFonts w:ascii="Times New Roman" w:hAnsi="Times New Roman" w:eastAsia="仿宋_GB2312"/>
                <w:b w:val="0"/>
                <w:sz w:val="18"/>
              </w:rPr>
              <w:t>方向5 低碳供应链碳数据传导与重组（产教融合型·重点支持）</w:t>
            </w:r>
          </w:p>
        </w:tc>
        <w:tc>
          <w:tcPr>
            <w:tcW w:w="1662" w:type="dxa"/>
            <w:vAlign w:val="center"/>
          </w:tcPr>
          <w:p w14:paraId="4B64BD2B">
            <w:pPr>
              <w:spacing w:after="0" w:line="240" w:lineRule="auto"/>
              <w:jc w:val="left"/>
            </w:pPr>
            <w:r>
              <w:rPr>
                <w:rFonts w:ascii="Times New Roman" w:hAnsi="Times New Roman" w:eastAsia="仿宋_GB2312"/>
                <w:b w:val="0"/>
                <w:sz w:val="18"/>
              </w:rPr>
              <w:t>方向20 退役新能源设备与废旧动力电池循环利用；方向15 零碳园区（工厂）综合能源系统集成</w:t>
            </w:r>
          </w:p>
        </w:tc>
        <w:tc>
          <w:tcPr>
            <w:tcW w:w="2028" w:type="dxa"/>
            <w:vAlign w:val="center"/>
          </w:tcPr>
          <w:p w14:paraId="697D9154">
            <w:pPr>
              <w:spacing w:after="0" w:line="240" w:lineRule="auto"/>
              <w:jc w:val="left"/>
            </w:pPr>
            <w:r>
              <w:rPr>
                <w:rFonts w:ascii="Times New Roman" w:hAnsi="Times New Roman" w:eastAsia="仿宋_GB2312"/>
                <w:b w:val="0"/>
                <w:sz w:val="18"/>
              </w:rPr>
              <w:t>方向5牵头院部与团队依托院部一致；储能产业物流积累适合切入方向20的动力电池回收逆向物流网络规划</w:t>
            </w:r>
          </w:p>
        </w:tc>
      </w:tr>
      <w:tr w14:paraId="31F4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4E2ED481">
            <w:pPr>
              <w:spacing w:after="0" w:line="240" w:lineRule="auto"/>
              <w:jc w:val="left"/>
            </w:pPr>
            <w:r>
              <w:rPr>
                <w:rFonts w:ascii="Times New Roman" w:hAnsi="Times New Roman" w:eastAsia="仿宋_GB2312"/>
                <w:b w:val="0"/>
                <w:sz w:val="18"/>
              </w:rPr>
              <w:t>5</w:t>
            </w:r>
          </w:p>
        </w:tc>
        <w:tc>
          <w:tcPr>
            <w:tcW w:w="1980" w:type="dxa"/>
            <w:vAlign w:val="center"/>
          </w:tcPr>
          <w:p w14:paraId="2943FCC0">
            <w:pPr>
              <w:spacing w:after="0" w:line="240" w:lineRule="auto"/>
              <w:jc w:val="left"/>
            </w:pPr>
            <w:r>
              <w:rPr>
                <w:rFonts w:ascii="Times New Roman" w:hAnsi="Times New Roman" w:eastAsia="仿宋_GB2312"/>
                <w:b w:val="0"/>
                <w:sz w:val="18"/>
              </w:rPr>
              <w:t>半导体离子电池智能系统团队（SIBIS）（WZT2025005／人工智能学院）</w:t>
            </w:r>
          </w:p>
        </w:tc>
        <w:tc>
          <w:tcPr>
            <w:tcW w:w="1710" w:type="dxa"/>
            <w:vAlign w:val="center"/>
          </w:tcPr>
          <w:p w14:paraId="4EFBF123">
            <w:pPr>
              <w:spacing w:after="0" w:line="240" w:lineRule="auto"/>
              <w:jc w:val="left"/>
            </w:pPr>
            <w:r>
              <w:rPr>
                <w:rFonts w:ascii="Times New Roman" w:hAnsi="Times New Roman" w:eastAsia="仿宋_GB2312"/>
                <w:b w:val="0"/>
                <w:sz w:val="18"/>
              </w:rPr>
              <w:t>半导体离子电池、能源材料器件</w:t>
            </w:r>
          </w:p>
        </w:tc>
        <w:tc>
          <w:tcPr>
            <w:tcW w:w="1590" w:type="dxa"/>
            <w:vAlign w:val="center"/>
          </w:tcPr>
          <w:p w14:paraId="1FA024EC">
            <w:pPr>
              <w:spacing w:after="0" w:line="240" w:lineRule="auto"/>
              <w:jc w:val="left"/>
            </w:pPr>
            <w:r>
              <w:rPr>
                <w:rFonts w:ascii="Times New Roman" w:hAnsi="Times New Roman" w:eastAsia="仿宋_GB2312"/>
                <w:b w:val="0"/>
                <w:sz w:val="18"/>
              </w:rPr>
              <w:t>方向19 低碳环境功能材料与新能源储能材料（产教融合型·优先支持）</w:t>
            </w:r>
          </w:p>
        </w:tc>
        <w:tc>
          <w:tcPr>
            <w:tcW w:w="1662" w:type="dxa"/>
            <w:vAlign w:val="center"/>
          </w:tcPr>
          <w:p w14:paraId="480F98CD">
            <w:pPr>
              <w:spacing w:after="0" w:line="240" w:lineRule="auto"/>
              <w:jc w:val="left"/>
            </w:pPr>
            <w:r>
              <w:rPr>
                <w:rFonts w:ascii="Times New Roman" w:hAnsi="Times New Roman" w:eastAsia="仿宋_GB2312"/>
                <w:b w:val="0"/>
                <w:sz w:val="18"/>
              </w:rPr>
              <w:t>方向16 绿色能源智能运维与机器人控制；方向13 校园光储直柔与零碳公共机构建设</w:t>
            </w:r>
          </w:p>
        </w:tc>
        <w:tc>
          <w:tcPr>
            <w:tcW w:w="2028" w:type="dxa"/>
            <w:vAlign w:val="center"/>
          </w:tcPr>
          <w:p w14:paraId="094E5765">
            <w:pPr>
              <w:spacing w:after="0" w:line="240" w:lineRule="auto"/>
              <w:jc w:val="left"/>
            </w:pPr>
            <w:r>
              <w:rPr>
                <w:rFonts w:ascii="Times New Roman" w:hAnsi="Times New Roman" w:eastAsia="仿宋_GB2312"/>
                <w:b w:val="0"/>
                <w:sz w:val="18"/>
              </w:rPr>
              <w:t>能源材料器件与方向19直接对应；该方向牵头院部为环境与生物工程学院，建议按《办法》跨院组队；智能系统（BMS）部分可与方向16衔接</w:t>
            </w:r>
          </w:p>
        </w:tc>
      </w:tr>
      <w:tr w14:paraId="4AF6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4DDF0EBF">
            <w:pPr>
              <w:spacing w:after="0" w:line="240" w:lineRule="auto"/>
              <w:jc w:val="left"/>
            </w:pPr>
            <w:r>
              <w:rPr>
                <w:rFonts w:ascii="Times New Roman" w:hAnsi="Times New Roman" w:eastAsia="仿宋_GB2312"/>
                <w:b w:val="0"/>
                <w:sz w:val="18"/>
              </w:rPr>
              <w:t>6</w:t>
            </w:r>
          </w:p>
        </w:tc>
        <w:tc>
          <w:tcPr>
            <w:tcW w:w="1980" w:type="dxa"/>
            <w:vAlign w:val="center"/>
          </w:tcPr>
          <w:p w14:paraId="11379C89">
            <w:pPr>
              <w:spacing w:after="0" w:line="240" w:lineRule="auto"/>
              <w:jc w:val="left"/>
            </w:pPr>
            <w:r>
              <w:rPr>
                <w:rFonts w:ascii="Times New Roman" w:hAnsi="Times New Roman" w:eastAsia="仿宋_GB2312"/>
                <w:b w:val="0"/>
                <w:sz w:val="18"/>
              </w:rPr>
              <w:t>新能源信息传播科研团队（WZT2025006／文法学院）</w:t>
            </w:r>
          </w:p>
        </w:tc>
        <w:tc>
          <w:tcPr>
            <w:tcW w:w="1710" w:type="dxa"/>
            <w:vAlign w:val="center"/>
          </w:tcPr>
          <w:p w14:paraId="71952E25">
            <w:pPr>
              <w:spacing w:after="0" w:line="240" w:lineRule="auto"/>
              <w:jc w:val="left"/>
            </w:pPr>
            <w:r>
              <w:rPr>
                <w:rFonts w:ascii="Times New Roman" w:hAnsi="Times New Roman" w:eastAsia="仿宋_GB2312"/>
                <w:b w:val="0"/>
                <w:sz w:val="18"/>
              </w:rPr>
              <w:t>新能源信息传播</w:t>
            </w:r>
          </w:p>
        </w:tc>
        <w:tc>
          <w:tcPr>
            <w:tcW w:w="1590" w:type="dxa"/>
            <w:vAlign w:val="center"/>
          </w:tcPr>
          <w:p w14:paraId="1F06557A">
            <w:pPr>
              <w:spacing w:after="0" w:line="240" w:lineRule="auto"/>
              <w:jc w:val="left"/>
            </w:pPr>
            <w:r>
              <w:rPr>
                <w:rFonts w:ascii="Times New Roman" w:hAnsi="Times New Roman" w:eastAsia="仿宋_GB2312"/>
                <w:b w:val="0"/>
                <w:sz w:val="18"/>
              </w:rPr>
              <w:t>方向12 绿色低碳品牌传播与绿色消费引导（学科建设型·培育支持）</w:t>
            </w:r>
          </w:p>
        </w:tc>
        <w:tc>
          <w:tcPr>
            <w:tcW w:w="1662" w:type="dxa"/>
            <w:vAlign w:val="center"/>
          </w:tcPr>
          <w:p w14:paraId="192A6044">
            <w:pPr>
              <w:spacing w:after="0" w:line="240" w:lineRule="auto"/>
              <w:jc w:val="left"/>
            </w:pPr>
            <w:r>
              <w:rPr>
                <w:rFonts w:ascii="Times New Roman" w:hAnsi="Times New Roman" w:eastAsia="仿宋_GB2312"/>
                <w:b w:val="0"/>
                <w:sz w:val="18"/>
              </w:rPr>
              <w:t>方向11 环境舆情智能监测与绿色治理决策咨询</w:t>
            </w:r>
          </w:p>
        </w:tc>
        <w:tc>
          <w:tcPr>
            <w:tcW w:w="2028" w:type="dxa"/>
            <w:vAlign w:val="center"/>
          </w:tcPr>
          <w:p w14:paraId="0F778881">
            <w:pPr>
              <w:spacing w:after="0" w:line="240" w:lineRule="auto"/>
              <w:jc w:val="left"/>
            </w:pPr>
            <w:r>
              <w:rPr>
                <w:rFonts w:ascii="Times New Roman" w:hAnsi="Times New Roman" w:eastAsia="仿宋_GB2312"/>
                <w:b w:val="0"/>
                <w:sz w:val="18"/>
              </w:rPr>
              <w:t>方向11、12牵头院部均为文法学院，院部完全匹配；可延伸至绿色品牌传播与环境舆情监测</w:t>
            </w:r>
          </w:p>
        </w:tc>
      </w:tr>
      <w:tr w14:paraId="4559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15198919">
            <w:pPr>
              <w:spacing w:after="0" w:line="240" w:lineRule="auto"/>
              <w:jc w:val="left"/>
            </w:pPr>
            <w:r>
              <w:rPr>
                <w:rFonts w:ascii="Times New Roman" w:hAnsi="Times New Roman" w:eastAsia="仿宋_GB2312"/>
                <w:b w:val="0"/>
                <w:sz w:val="18"/>
              </w:rPr>
              <w:t>7</w:t>
            </w:r>
          </w:p>
        </w:tc>
        <w:tc>
          <w:tcPr>
            <w:tcW w:w="1980" w:type="dxa"/>
            <w:vAlign w:val="center"/>
          </w:tcPr>
          <w:p w14:paraId="44C93521">
            <w:pPr>
              <w:spacing w:after="0" w:line="240" w:lineRule="auto"/>
              <w:jc w:val="left"/>
            </w:pPr>
            <w:r>
              <w:rPr>
                <w:rFonts w:ascii="Times New Roman" w:hAnsi="Times New Roman" w:eastAsia="仿宋_GB2312"/>
                <w:b w:val="0"/>
                <w:sz w:val="18"/>
              </w:rPr>
              <w:t>数字经济与碳中和（WZT2025007／经济与管理学院）</w:t>
            </w:r>
          </w:p>
        </w:tc>
        <w:tc>
          <w:tcPr>
            <w:tcW w:w="1710" w:type="dxa"/>
            <w:vAlign w:val="center"/>
          </w:tcPr>
          <w:p w14:paraId="09AA9A51">
            <w:pPr>
              <w:spacing w:after="0" w:line="240" w:lineRule="auto"/>
              <w:jc w:val="left"/>
            </w:pPr>
            <w:r>
              <w:rPr>
                <w:rFonts w:ascii="Times New Roman" w:hAnsi="Times New Roman" w:eastAsia="仿宋_GB2312"/>
                <w:b w:val="0"/>
                <w:sz w:val="18"/>
              </w:rPr>
              <w:t>环境经济学</w:t>
            </w:r>
          </w:p>
        </w:tc>
        <w:tc>
          <w:tcPr>
            <w:tcW w:w="1590" w:type="dxa"/>
            <w:vAlign w:val="center"/>
          </w:tcPr>
          <w:p w14:paraId="3EAED116">
            <w:pPr>
              <w:spacing w:after="0" w:line="240" w:lineRule="auto"/>
              <w:jc w:val="left"/>
            </w:pPr>
            <w:r>
              <w:rPr>
                <w:rFonts w:ascii="Times New Roman" w:hAnsi="Times New Roman" w:eastAsia="仿宋_GB2312"/>
                <w:b w:val="0"/>
                <w:sz w:val="18"/>
              </w:rPr>
              <w:t>方向9 区域双碳考核决策支持与绿色数字经济测度（学科建设型·重点支持）</w:t>
            </w:r>
          </w:p>
        </w:tc>
        <w:tc>
          <w:tcPr>
            <w:tcW w:w="1662" w:type="dxa"/>
            <w:vAlign w:val="center"/>
          </w:tcPr>
          <w:p w14:paraId="6D9DDCF8">
            <w:pPr>
              <w:spacing w:after="0" w:line="240" w:lineRule="auto"/>
              <w:jc w:val="left"/>
            </w:pPr>
            <w:r>
              <w:rPr>
                <w:rFonts w:ascii="Times New Roman" w:hAnsi="Times New Roman" w:eastAsia="仿宋_GB2312"/>
                <w:b w:val="0"/>
                <w:sz w:val="18"/>
              </w:rPr>
              <w:t>方向6 碳排放数据质量核查与碳审计；方向4 碳定价机制衔接与国际抵扣规则研究</w:t>
            </w:r>
          </w:p>
        </w:tc>
        <w:tc>
          <w:tcPr>
            <w:tcW w:w="2028" w:type="dxa"/>
            <w:vAlign w:val="center"/>
          </w:tcPr>
          <w:p w14:paraId="32FB3AC7">
            <w:pPr>
              <w:spacing w:after="0" w:line="240" w:lineRule="auto"/>
              <w:jc w:val="left"/>
            </w:pPr>
            <w:r>
              <w:rPr>
                <w:rFonts w:ascii="Times New Roman" w:hAnsi="Times New Roman" w:eastAsia="仿宋_GB2312"/>
                <w:b w:val="0"/>
                <w:sz w:val="18"/>
              </w:rPr>
              <w:t>“数字经济与碳中和”与方向9的绿色数字经济测度高度对应；若留在经济与管理学院牵头，可选择方向6转向碳审计</w:t>
            </w:r>
          </w:p>
        </w:tc>
      </w:tr>
    </w:tbl>
    <w:p w14:paraId="085E805B">
      <w:pPr>
        <w:spacing w:after="80" w:line="440" w:lineRule="exact"/>
        <w:ind w:firstLine="480"/>
        <w:jc w:val="left"/>
      </w:pPr>
      <w:r>
        <w:rPr>
          <w:rFonts w:ascii="Times New Roman" w:hAnsi="Times New Roman" w:eastAsia="仿宋_GB2312"/>
          <w:b w:val="0"/>
          <w:sz w:val="24"/>
        </w:rPr>
        <w:t>说明：（</w:t>
      </w:r>
      <w:r>
        <w:rPr>
          <w:rFonts w:hint="eastAsia" w:ascii="Times New Roman" w:hAnsi="Times New Roman" w:eastAsia="仿宋_GB2312"/>
          <w:b w:val="0"/>
          <w:sz w:val="24"/>
          <w:lang w:val="en-US" w:eastAsia="zh-CN"/>
        </w:rPr>
        <w:t>1</w:t>
      </w:r>
      <w:r>
        <w:rPr>
          <w:rFonts w:ascii="Times New Roman" w:hAnsi="Times New Roman" w:eastAsia="仿宋_GB2312"/>
          <w:b w:val="0"/>
          <w:sz w:val="24"/>
        </w:rPr>
        <w:t>）本对应表为引导性建议，各团队最终转设方向由依托院部根据学科发展和产学研合作发展需求统筹确定；（</w:t>
      </w:r>
      <w:r>
        <w:rPr>
          <w:rFonts w:hint="eastAsia" w:ascii="Times New Roman" w:hAnsi="Times New Roman" w:eastAsia="仿宋_GB2312"/>
          <w:b w:val="0"/>
          <w:sz w:val="24"/>
          <w:lang w:val="en-US" w:eastAsia="zh-CN"/>
        </w:rPr>
        <w:t>2</w:t>
      </w:r>
      <w:r>
        <w:rPr>
          <w:rFonts w:ascii="Times New Roman" w:hAnsi="Times New Roman" w:eastAsia="仿宋_GB2312"/>
          <w:b w:val="0"/>
          <w:sz w:val="24"/>
        </w:rPr>
        <w:t>）首选方向牵头院部与原依托院部不一致的，可按《办法》跨学院、跨专业、跨方向联合组队的规定，整体转入牵头院部或作为协同单位联合申报；（</w:t>
      </w:r>
      <w:r>
        <w:rPr>
          <w:rFonts w:hint="eastAsia" w:ascii="Times New Roman" w:hAnsi="Times New Roman" w:eastAsia="仿宋_GB2312"/>
          <w:b w:val="0"/>
          <w:sz w:val="24"/>
          <w:lang w:val="en-US" w:eastAsia="zh-CN"/>
        </w:rPr>
        <w:t>3</w:t>
      </w:r>
      <w:r>
        <w:rPr>
          <w:rFonts w:ascii="Times New Roman" w:hAnsi="Times New Roman" w:eastAsia="仿宋_GB2312"/>
          <w:b w:val="0"/>
          <w:sz w:val="24"/>
        </w:rPr>
        <w:t>）转设时应同步明确团队类别，可参照表中各方向的建议类别在《武汉工商学院产学研团队信息变更申请表》（附件1）中勾选；（</w:t>
      </w:r>
      <w:r>
        <w:rPr>
          <w:rFonts w:hint="eastAsia" w:ascii="Times New Roman" w:hAnsi="Times New Roman" w:eastAsia="仿宋_GB2312"/>
          <w:b w:val="0"/>
          <w:sz w:val="24"/>
          <w:lang w:val="en-US" w:eastAsia="zh-CN"/>
        </w:rPr>
        <w:t>4</w:t>
      </w:r>
      <w:r>
        <w:rPr>
          <w:rFonts w:ascii="Times New Roman" w:hAnsi="Times New Roman" w:eastAsia="仿宋_GB2312"/>
          <w:b w:val="0"/>
          <w:sz w:val="24"/>
        </w:rPr>
        <w:t>）研究方向按本表调整的，属转设并变更，须填报附件1并经审核。</w:t>
      </w: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ＭＳ 明朝">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4A61DA"/>
    <w:rsid w:val="0A956499"/>
    <w:rsid w:val="0C006EB6"/>
    <w:rsid w:val="2AED63FF"/>
    <w:rsid w:val="31C418C9"/>
    <w:rsid w:val="3A044DC2"/>
    <w:rsid w:val="3C3D20F5"/>
    <w:rsid w:val="42100EF9"/>
    <w:rsid w:val="47240FA3"/>
    <w:rsid w:val="50F934A0"/>
    <w:rsid w:val="55A0038E"/>
    <w:rsid w:val="58D565A1"/>
    <w:rsid w:val="591F7797"/>
    <w:rsid w:val="6F914B78"/>
    <w:rsid w:val="772E11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1453</Words>
  <Characters>1487</Characters>
  <Lines>0</Lines>
  <Paragraphs>0</Paragraphs>
  <TotalTime>0</TotalTime>
  <ScaleCrop>false</ScaleCrop>
  <LinksUpToDate>false</LinksUpToDate>
  <CharactersWithSpaces>1489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Mr. Liu</cp:lastModifiedBy>
  <dcterms:modified xsi:type="dcterms:W3CDTF">2026-09-04T07:14:36Z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eyJoZGlkIjoiOTI1MTY5OWE4NTBhYjE1NDkzZThmMTk2NWNiNjYzYTUiLCJ1c2VySWQiOiIzMjAwOTA0OTEifQ==</vt:lpwstr>
  </property>
  <property fmtid="{D5CDD505-2E9C-101B-9397-08002B2CF9AE}" pid="3" name="KSOProductBuildVer">
    <vt:lpwstr>2052-12.1.0.28505</vt:lpwstr>
  </property>
  <property fmtid="{D5CDD505-2E9C-101B-9397-08002B2CF9AE}" pid="4" name="ICV">
    <vt:lpwstr>1A2784130D734D248CD5A6014C0BA004_12</vt:lpwstr>
  </property>
</Properties>
</file>